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2514" w14:textId="77777777" w:rsidR="00E611D6" w:rsidRPr="00E211A7" w:rsidRDefault="00E611D6" w:rsidP="00E611D6">
      <w:pPr>
        <w:pStyle w:val="Heading3"/>
        <w:ind w:left="0" w:firstLine="0"/>
      </w:pPr>
      <w:bookmarkStart w:id="0" w:name="_CPA19"/>
      <w:r w:rsidRPr="00E211A7">
        <w:t>C-1 Office and Related Commercial District</w:t>
      </w:r>
    </w:p>
    <w:p w14:paraId="7AC25C62" w14:textId="77777777" w:rsidR="00E611D6" w:rsidRPr="00E211A7" w:rsidRDefault="00E611D6" w:rsidP="00E611D6">
      <w:pPr>
        <w:pStyle w:val="SFAtext"/>
        <w:ind w:left="0"/>
        <w:rPr>
          <w:rFonts w:cs="Arial"/>
        </w:rPr>
      </w:pPr>
      <w:r w:rsidRPr="00E211A7">
        <w:rPr>
          <w:rFonts w:cs="Arial"/>
        </w:rPr>
        <w:t xml:space="preserve">The purpose of the C-1 office and related commercial district is to provide areas for government offices; professional and </w:t>
      </w:r>
      <w:r w:rsidRPr="00E211A7">
        <w:rPr>
          <w:rFonts w:cs="Arial"/>
          <w:i/>
        </w:rPr>
        <w:t xml:space="preserve">business </w:t>
      </w:r>
      <w:r w:rsidRPr="00E211A7">
        <w:rPr>
          <w:rFonts w:cs="Arial"/>
        </w:rPr>
        <w:t xml:space="preserve">offices; medical and dental offices or clinics; </w:t>
      </w:r>
      <w:r w:rsidRPr="00E211A7">
        <w:rPr>
          <w:rFonts w:cs="Arial"/>
          <w:i/>
        </w:rPr>
        <w:t>personal care facilities for the elderly</w:t>
      </w:r>
      <w:r w:rsidRPr="00E211A7">
        <w:rPr>
          <w:rFonts w:cs="Arial"/>
        </w:rPr>
        <w:t xml:space="preserve">; and </w:t>
      </w:r>
      <w:r w:rsidRPr="00E211A7">
        <w:rPr>
          <w:rFonts w:cs="Arial"/>
          <w:i/>
        </w:rPr>
        <w:t>hospitals</w:t>
      </w:r>
      <w:r w:rsidRPr="00E211A7">
        <w:rPr>
          <w:rFonts w:cs="Arial"/>
        </w:rPr>
        <w:t xml:space="preserve">, laboratories, </w:t>
      </w:r>
      <w:r w:rsidRPr="00E211A7">
        <w:rPr>
          <w:rFonts w:cs="Arial"/>
          <w:i/>
        </w:rPr>
        <w:t>pharmacies</w:t>
      </w:r>
      <w:r w:rsidRPr="00E211A7">
        <w:rPr>
          <w:rFonts w:cs="Arial"/>
        </w:rPr>
        <w:t xml:space="preserve"> and related complementary </w:t>
      </w:r>
      <w:r w:rsidRPr="00E211A7">
        <w:rPr>
          <w:rFonts w:cs="Arial"/>
          <w:i/>
        </w:rPr>
        <w:t>businesses</w:t>
      </w:r>
      <w:r w:rsidRPr="00E211A7">
        <w:rPr>
          <w:rFonts w:cs="Arial"/>
        </w:rPr>
        <w:t xml:space="preserve"> that provide sales or service of office equipment, medical and dental supplies and office supplies.  This district serves as a transitional buffer between more intense commercial use districts and </w:t>
      </w:r>
      <w:r w:rsidRPr="00E211A7">
        <w:rPr>
          <w:rFonts w:cs="Arial"/>
          <w:i/>
        </w:rPr>
        <w:t>residential</w:t>
      </w:r>
      <w:r w:rsidRPr="00E211A7">
        <w:rPr>
          <w:rFonts w:cs="Arial"/>
        </w:rPr>
        <w:t xml:space="preserve"> districts.  </w:t>
      </w:r>
    </w:p>
    <w:bookmarkEnd w:id="0"/>
    <w:p w14:paraId="0D5F2001" w14:textId="77777777" w:rsidR="00E611D6" w:rsidRPr="00E211A7" w:rsidRDefault="00E611D6" w:rsidP="00E611D6">
      <w:pPr>
        <w:rPr>
          <w:rFonts w:ascii="Arial" w:hAnsi="Arial" w:cs="Arial"/>
          <w:b/>
        </w:rPr>
      </w:pPr>
    </w:p>
    <w:p w14:paraId="155B7858" w14:textId="77777777" w:rsidR="00E611D6" w:rsidRPr="00E211A7" w:rsidRDefault="00E611D6" w:rsidP="00E611D6">
      <w:pPr>
        <w:rPr>
          <w:rFonts w:ascii="Arial" w:hAnsi="Arial" w:cs="Arial"/>
          <w:b/>
        </w:rPr>
      </w:pPr>
      <w:r w:rsidRPr="00E211A7">
        <w:rPr>
          <w:rFonts w:ascii="Arial" w:hAnsi="Arial" w:cs="Arial"/>
          <w:b/>
        </w:rPr>
        <w:t>Dimensional Standards</w:t>
      </w:r>
    </w:p>
    <w:p w14:paraId="7124815C" w14:textId="77777777" w:rsidR="00E611D6" w:rsidRPr="00E211A7" w:rsidRDefault="00E611D6" w:rsidP="00E611D6">
      <w:pPr>
        <w:rPr>
          <w:rFonts w:ascii="Arial" w:hAnsi="Arial" w:cs="Arial"/>
          <w:b/>
        </w:rPr>
      </w:pPr>
      <w:r w:rsidRPr="00E211A7">
        <w:rPr>
          <w:rFonts w:ascii="Arial" w:hAnsi="Arial" w:cs="Arial"/>
          <w:b/>
        </w:rPr>
        <w:t xml:space="preserve">Minimum district size </w:t>
      </w:r>
    </w:p>
    <w:p w14:paraId="2083ABDF" w14:textId="77777777" w:rsidR="00E611D6" w:rsidRPr="00E211A7" w:rsidRDefault="00E611D6" w:rsidP="00E611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211A7">
        <w:rPr>
          <w:rFonts w:ascii="Arial" w:hAnsi="Arial" w:cs="Arial"/>
        </w:rPr>
        <w:t xml:space="preserve">Single family dwelling: 3,000 square feet (may be reduced to 2,000 square feet if common open space is provided.  </w:t>
      </w:r>
    </w:p>
    <w:p w14:paraId="766550D1" w14:textId="77777777" w:rsidR="00E611D6" w:rsidRPr="00E211A7" w:rsidRDefault="00E611D6" w:rsidP="00E611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211A7">
        <w:rPr>
          <w:rFonts w:ascii="Arial" w:hAnsi="Arial" w:cs="Arial"/>
        </w:rPr>
        <w:t>Multiple family dwelling: as required to comply with gross density factor.</w:t>
      </w:r>
    </w:p>
    <w:p w14:paraId="27DA54B8" w14:textId="77777777" w:rsidR="00E611D6" w:rsidRPr="00E211A7" w:rsidRDefault="00E611D6" w:rsidP="00E611D6">
      <w:pPr>
        <w:rPr>
          <w:rFonts w:ascii="Arial" w:hAnsi="Arial" w:cs="Arial"/>
        </w:rPr>
      </w:pPr>
    </w:p>
    <w:p w14:paraId="7DF0D4CE" w14:textId="77777777" w:rsidR="00E611D6" w:rsidRPr="00E211A7" w:rsidRDefault="00E611D6" w:rsidP="00E611D6">
      <w:pPr>
        <w:rPr>
          <w:rFonts w:ascii="Arial" w:hAnsi="Arial" w:cs="Arial"/>
        </w:rPr>
      </w:pPr>
      <w:r w:rsidRPr="00E211A7">
        <w:rPr>
          <w:rFonts w:ascii="Arial" w:hAnsi="Arial" w:cs="Arial"/>
          <w:b/>
        </w:rPr>
        <w:t>Maximum height</w:t>
      </w:r>
      <w:r w:rsidRPr="00E211A7">
        <w:rPr>
          <w:rFonts w:ascii="Arial" w:hAnsi="Arial" w:cs="Arial"/>
        </w:rPr>
        <w:t>:</w:t>
      </w:r>
      <w:r w:rsidRPr="00E211A7">
        <w:rPr>
          <w:rFonts w:ascii="Arial" w:hAnsi="Arial" w:cs="Arial"/>
        </w:rPr>
        <w:tab/>
      </w:r>
      <w:r w:rsidRPr="00E211A7">
        <w:rPr>
          <w:rFonts w:ascii="Arial" w:hAnsi="Arial" w:cs="Arial"/>
        </w:rPr>
        <w:tab/>
        <w:t>36</w:t>
      </w:r>
    </w:p>
    <w:p w14:paraId="1B20EB5C" w14:textId="77777777" w:rsidR="00E611D6" w:rsidRPr="00E211A7" w:rsidRDefault="00E611D6" w:rsidP="00E611D6">
      <w:pPr>
        <w:rPr>
          <w:rFonts w:ascii="Arial" w:hAnsi="Arial" w:cs="Arial"/>
        </w:rPr>
      </w:pPr>
    </w:p>
    <w:p w14:paraId="58F1DA19" w14:textId="77777777" w:rsidR="00E611D6" w:rsidRPr="00E211A7" w:rsidRDefault="00E611D6" w:rsidP="00E611D6">
      <w:pPr>
        <w:rPr>
          <w:rFonts w:ascii="Arial" w:hAnsi="Arial" w:cs="Arial"/>
          <w:b/>
        </w:rPr>
      </w:pPr>
      <w:r w:rsidRPr="00E211A7">
        <w:rPr>
          <w:rFonts w:ascii="Arial" w:hAnsi="Arial" w:cs="Arial"/>
          <w:b/>
        </w:rPr>
        <w:t>Minimum setbacks:</w:t>
      </w:r>
    </w:p>
    <w:p w14:paraId="5148DB54" w14:textId="77777777" w:rsidR="00E611D6" w:rsidRPr="00E211A7" w:rsidRDefault="00E611D6" w:rsidP="00E611D6">
      <w:pPr>
        <w:rPr>
          <w:rFonts w:ascii="Arial" w:hAnsi="Arial" w:cs="Arial"/>
        </w:rPr>
      </w:pPr>
      <w:r w:rsidRPr="00E211A7">
        <w:rPr>
          <w:rFonts w:ascii="Arial" w:hAnsi="Arial" w:cs="Arial"/>
        </w:rPr>
        <w:t xml:space="preserve">Non-residential uses:  </w:t>
      </w:r>
      <w:r w:rsidRPr="00E211A7">
        <w:rPr>
          <w:rFonts w:ascii="Arial" w:hAnsi="Arial" w:cs="Arial"/>
        </w:rPr>
        <w:tab/>
        <w:t>Street 10; side 5, rear 10</w:t>
      </w:r>
    </w:p>
    <w:p w14:paraId="73131515" w14:textId="77777777" w:rsidR="00E611D6" w:rsidRPr="00E211A7" w:rsidRDefault="00E611D6" w:rsidP="00E611D6">
      <w:pPr>
        <w:rPr>
          <w:rFonts w:ascii="Arial" w:hAnsi="Arial" w:cs="Arial"/>
        </w:rPr>
      </w:pPr>
    </w:p>
    <w:p w14:paraId="3E1CB23A" w14:textId="77777777" w:rsidR="00E611D6" w:rsidRPr="00E211A7" w:rsidRDefault="00E611D6" w:rsidP="00E611D6">
      <w:pPr>
        <w:ind w:left="2880" w:hanging="2880"/>
        <w:rPr>
          <w:rFonts w:ascii="Arial" w:hAnsi="Arial" w:cs="Arial"/>
        </w:rPr>
      </w:pPr>
      <w:r w:rsidRPr="00E211A7">
        <w:rPr>
          <w:rFonts w:ascii="Arial" w:hAnsi="Arial" w:cs="Arial"/>
        </w:rPr>
        <w:t>Residential uses:</w:t>
      </w:r>
      <w:r w:rsidRPr="00E211A7">
        <w:rPr>
          <w:rFonts w:ascii="Arial" w:hAnsi="Arial" w:cs="Arial"/>
        </w:rPr>
        <w:tab/>
        <w:t>Street 7; side 5 (10 on upper stories); rear 15 or 20% of the average depth dimension of lot, whichever is less</w:t>
      </w:r>
    </w:p>
    <w:p w14:paraId="6DEE2E9D" w14:textId="77777777" w:rsidR="00E611D6" w:rsidRPr="00E211A7" w:rsidRDefault="00E611D6" w:rsidP="00E611D6">
      <w:pPr>
        <w:ind w:left="2880" w:hanging="2880"/>
        <w:rPr>
          <w:rFonts w:ascii="Arial" w:hAnsi="Arial" w:cs="Arial"/>
        </w:rPr>
      </w:pPr>
    </w:p>
    <w:p w14:paraId="657F2B2E" w14:textId="77777777" w:rsidR="00E611D6" w:rsidRPr="00E211A7" w:rsidRDefault="00E611D6" w:rsidP="00E611D6">
      <w:pPr>
        <w:ind w:left="2880" w:hanging="2880"/>
        <w:rPr>
          <w:rFonts w:ascii="Arial" w:hAnsi="Arial" w:cs="Arial"/>
        </w:rPr>
      </w:pPr>
      <w:r w:rsidRPr="00E211A7">
        <w:rPr>
          <w:rFonts w:ascii="Arial" w:hAnsi="Arial" w:cs="Arial"/>
          <w:b/>
        </w:rPr>
        <w:t>Max lot cover</w:t>
      </w:r>
      <w:r w:rsidRPr="00E211A7">
        <w:rPr>
          <w:rFonts w:ascii="Arial" w:hAnsi="Arial" w:cs="Arial"/>
        </w:rPr>
        <w:t>:</w:t>
      </w:r>
    </w:p>
    <w:p w14:paraId="5AA85E26" w14:textId="77777777" w:rsidR="00E611D6" w:rsidRPr="00E211A7" w:rsidRDefault="00E611D6" w:rsidP="00E611D6">
      <w:pPr>
        <w:ind w:left="2880" w:hanging="2880"/>
        <w:rPr>
          <w:rFonts w:ascii="Arial" w:hAnsi="Arial" w:cs="Arial"/>
        </w:rPr>
      </w:pPr>
      <w:r w:rsidRPr="00E211A7">
        <w:rPr>
          <w:rFonts w:ascii="Arial" w:hAnsi="Arial" w:cs="Arial"/>
        </w:rPr>
        <w:t>Non-residential uses:</w:t>
      </w:r>
      <w:r w:rsidRPr="00E211A7">
        <w:rPr>
          <w:rFonts w:ascii="Arial" w:hAnsi="Arial" w:cs="Arial"/>
        </w:rPr>
        <w:tab/>
        <w:t>60</w:t>
      </w:r>
    </w:p>
    <w:p w14:paraId="0830BADD" w14:textId="77777777" w:rsidR="00E611D6" w:rsidRPr="00E211A7" w:rsidRDefault="00E611D6" w:rsidP="00E611D6">
      <w:pPr>
        <w:ind w:left="2880" w:hanging="2880"/>
        <w:rPr>
          <w:rFonts w:ascii="Arial" w:hAnsi="Arial" w:cs="Arial"/>
        </w:rPr>
      </w:pPr>
      <w:r w:rsidRPr="00E211A7">
        <w:rPr>
          <w:rFonts w:ascii="Arial" w:hAnsi="Arial" w:cs="Arial"/>
        </w:rPr>
        <w:t>Residential uses:</w:t>
      </w:r>
      <w:r w:rsidRPr="00E211A7">
        <w:rPr>
          <w:rFonts w:ascii="Arial" w:hAnsi="Arial" w:cs="Arial"/>
        </w:rPr>
        <w:tab/>
        <w:t>40</w:t>
      </w:r>
    </w:p>
    <w:p w14:paraId="507D68B5" w14:textId="77777777" w:rsidR="00E611D6" w:rsidRPr="00E211A7" w:rsidRDefault="00E611D6" w:rsidP="00E611D6">
      <w:pPr>
        <w:ind w:left="2880" w:hanging="2880"/>
        <w:rPr>
          <w:rFonts w:ascii="Arial" w:hAnsi="Arial" w:cs="Arial"/>
        </w:rPr>
      </w:pPr>
    </w:p>
    <w:p w14:paraId="7626B8F9" w14:textId="77777777" w:rsidR="00E611D6" w:rsidRPr="00E211A7" w:rsidRDefault="00E611D6" w:rsidP="00E611D6">
      <w:pPr>
        <w:ind w:left="2880" w:hanging="2880"/>
        <w:rPr>
          <w:rFonts w:ascii="Arial" w:hAnsi="Arial" w:cs="Arial"/>
          <w:b/>
        </w:rPr>
      </w:pPr>
      <w:r w:rsidRPr="00E211A7">
        <w:rPr>
          <w:rFonts w:ascii="Arial" w:hAnsi="Arial" w:cs="Arial"/>
          <w:b/>
        </w:rPr>
        <w:t>Open Space Requirements:</w:t>
      </w:r>
    </w:p>
    <w:p w14:paraId="469324C3" w14:textId="0E79ACDC" w:rsidR="00E211A7" w:rsidRPr="00E211A7" w:rsidRDefault="00E611D6" w:rsidP="00E611D6">
      <w:pPr>
        <w:pStyle w:val="SFitext"/>
        <w:ind w:left="2880" w:hanging="2880"/>
        <w:rPr>
          <w:rFonts w:cs="Arial"/>
        </w:rPr>
      </w:pPr>
      <w:r w:rsidRPr="00E211A7">
        <w:rPr>
          <w:rFonts w:cs="Arial"/>
        </w:rPr>
        <w:t>Single-Family</w:t>
      </w:r>
      <w:r w:rsidRPr="00E211A7">
        <w:rPr>
          <w:rFonts w:cs="Arial"/>
        </w:rPr>
        <w:tab/>
        <w:t xml:space="preserve">Where the </w:t>
      </w:r>
      <w:r w:rsidRPr="00E211A7">
        <w:rPr>
          <w:rFonts w:cs="Arial"/>
          <w:i/>
        </w:rPr>
        <w:t>lot</w:t>
      </w:r>
      <w:r w:rsidRPr="00E211A7">
        <w:rPr>
          <w:rFonts w:cs="Arial"/>
        </w:rPr>
        <w:t xml:space="preserve"> size is between two thousand (2,000) and four thousand (4,000) square feet, qualifying</w:t>
      </w:r>
      <w:r w:rsidRPr="00E211A7">
        <w:rPr>
          <w:rFonts w:cs="Arial"/>
          <w:i/>
        </w:rPr>
        <w:t xml:space="preserve"> common open space</w:t>
      </w:r>
      <w:r w:rsidRPr="00E211A7">
        <w:rPr>
          <w:rFonts w:cs="Arial"/>
        </w:rPr>
        <w:t xml:space="preserve"> is required in an amount such that the sum of the square footage of the </w:t>
      </w:r>
      <w:r w:rsidRPr="00E211A7">
        <w:rPr>
          <w:rFonts w:cs="Arial"/>
          <w:i/>
        </w:rPr>
        <w:t>lots</w:t>
      </w:r>
      <w:r w:rsidRPr="00E211A7">
        <w:rPr>
          <w:rFonts w:cs="Arial"/>
        </w:rPr>
        <w:t xml:space="preserve"> in the </w:t>
      </w:r>
      <w:r w:rsidRPr="00E211A7">
        <w:rPr>
          <w:rFonts w:cs="Arial"/>
          <w:i/>
        </w:rPr>
        <w:t>development</w:t>
      </w:r>
      <w:r w:rsidRPr="00E211A7">
        <w:rPr>
          <w:rFonts w:cs="Arial"/>
        </w:rPr>
        <w:t xml:space="preserve"> plus the sum of the square footage for </w:t>
      </w:r>
      <w:r w:rsidRPr="00E211A7">
        <w:rPr>
          <w:rFonts w:cs="Arial"/>
          <w:i/>
        </w:rPr>
        <w:t>common open space</w:t>
      </w:r>
      <w:r w:rsidRPr="00E211A7">
        <w:rPr>
          <w:rFonts w:cs="Arial"/>
        </w:rPr>
        <w:t xml:space="preserve">, all divided by the number of </w:t>
      </w:r>
      <w:proofErr w:type="gramStart"/>
      <w:r w:rsidRPr="00E211A7">
        <w:rPr>
          <w:rFonts w:cs="Arial"/>
        </w:rPr>
        <w:t xml:space="preserve">single </w:t>
      </w:r>
      <w:r w:rsidRPr="00E211A7">
        <w:rPr>
          <w:rFonts w:cs="Arial"/>
          <w:i/>
        </w:rPr>
        <w:t>family</w:t>
      </w:r>
      <w:proofErr w:type="gramEnd"/>
      <w:r w:rsidRPr="00E211A7">
        <w:rPr>
          <w:rFonts w:cs="Arial"/>
        </w:rPr>
        <w:t xml:space="preserve"> </w:t>
      </w:r>
      <w:r w:rsidRPr="00E211A7">
        <w:rPr>
          <w:rFonts w:cs="Arial"/>
          <w:i/>
        </w:rPr>
        <w:t>lots</w:t>
      </w:r>
      <w:r w:rsidRPr="00E211A7">
        <w:rPr>
          <w:rFonts w:cs="Arial"/>
        </w:rPr>
        <w:t>, equals no less than four thousand (4,000) square feet.</w:t>
      </w:r>
    </w:p>
    <w:p w14:paraId="6CE93EFF" w14:textId="77777777" w:rsidR="00E211A7" w:rsidRPr="00E211A7" w:rsidRDefault="00E211A7">
      <w:pPr>
        <w:rPr>
          <w:rFonts w:ascii="Arial" w:eastAsia="Times" w:hAnsi="Arial" w:cs="Arial"/>
        </w:rPr>
      </w:pPr>
      <w:r w:rsidRPr="00E211A7">
        <w:rPr>
          <w:rFonts w:ascii="Arial" w:hAnsi="Arial" w:cs="Arial"/>
        </w:rPr>
        <w:br w:type="page"/>
      </w:r>
    </w:p>
    <w:p w14:paraId="694B72A2" w14:textId="77777777" w:rsidR="00E611D6" w:rsidRPr="00E211A7" w:rsidRDefault="00E611D6" w:rsidP="00E611D6">
      <w:pPr>
        <w:pStyle w:val="SFitext"/>
        <w:ind w:left="2880" w:hanging="2880"/>
        <w:rPr>
          <w:rFonts w:cs="Arial"/>
        </w:rPr>
      </w:pPr>
    </w:p>
    <w:p w14:paraId="15F633DE" w14:textId="77777777" w:rsidR="00E611D6" w:rsidRPr="00E211A7" w:rsidRDefault="00E611D6" w:rsidP="00E611D6">
      <w:pPr>
        <w:pStyle w:val="SFitext"/>
        <w:ind w:left="2880" w:hanging="2880"/>
        <w:rPr>
          <w:rFonts w:cs="Arial"/>
        </w:rPr>
      </w:pPr>
      <w:r w:rsidRPr="00E211A7">
        <w:rPr>
          <w:rFonts w:cs="Arial"/>
        </w:rPr>
        <w:t>Multiple-Family</w:t>
      </w:r>
      <w:r w:rsidRPr="00E211A7">
        <w:rPr>
          <w:rFonts w:cs="Arial"/>
        </w:rPr>
        <w:tab/>
        <w:t>Qualifying</w:t>
      </w:r>
      <w:r w:rsidRPr="00E211A7">
        <w:rPr>
          <w:rFonts w:cs="Arial"/>
          <w:i/>
        </w:rPr>
        <w:t xml:space="preserve"> common open space</w:t>
      </w:r>
      <w:r w:rsidRPr="00E211A7">
        <w:rPr>
          <w:rFonts w:cs="Arial"/>
        </w:rPr>
        <w:t xml:space="preserve"> is required at a minimum of two hundred fifty (250) square feet per unit.</w:t>
      </w:r>
    </w:p>
    <w:p w14:paraId="21309C20" w14:textId="3D0DAAFD" w:rsidR="00E611D6" w:rsidRPr="00E211A7" w:rsidRDefault="00E611D6" w:rsidP="00E611D6">
      <w:pPr>
        <w:ind w:left="2880" w:hanging="2880"/>
        <w:rPr>
          <w:rFonts w:ascii="Arial" w:hAnsi="Arial" w:cs="Arial"/>
        </w:rPr>
      </w:pPr>
      <w:r w:rsidRPr="00E211A7">
        <w:rPr>
          <w:rFonts w:ascii="Arial" w:hAnsi="Arial" w:cs="Arial"/>
        </w:rPr>
        <w:t>Non</w:t>
      </w:r>
      <w:r w:rsidR="00E211A7" w:rsidRPr="00E211A7">
        <w:rPr>
          <w:rFonts w:ascii="Arial" w:hAnsi="Arial" w:cs="Arial"/>
        </w:rPr>
        <w:t>-</w:t>
      </w:r>
      <w:r w:rsidRPr="00E211A7">
        <w:rPr>
          <w:rFonts w:ascii="Arial" w:hAnsi="Arial" w:cs="Arial"/>
        </w:rPr>
        <w:t>Residential</w:t>
      </w:r>
      <w:r w:rsidRPr="00E211A7">
        <w:rPr>
          <w:rFonts w:ascii="Arial" w:hAnsi="Arial" w:cs="Arial"/>
        </w:rPr>
        <w:tab/>
      </w:r>
      <w:r w:rsidRPr="00E211A7">
        <w:rPr>
          <w:rFonts w:ascii="Arial" w:eastAsia="Calibri" w:hAnsi="Arial" w:cs="Arial"/>
        </w:rPr>
        <w:t xml:space="preserve">The minimum dimension for </w:t>
      </w:r>
      <w:r w:rsidRPr="00E211A7">
        <w:rPr>
          <w:rFonts w:ascii="Arial" w:eastAsia="Calibri" w:hAnsi="Arial" w:cs="Arial"/>
          <w:i/>
        </w:rPr>
        <w:t>nonresidential open space</w:t>
      </w:r>
      <w:r w:rsidRPr="00E211A7">
        <w:rPr>
          <w:rFonts w:ascii="Arial" w:eastAsia="Calibri" w:hAnsi="Arial" w:cs="Arial"/>
        </w:rPr>
        <w:t xml:space="preserve"> shall be 10 feet and cover a minimum of 300 square feet, unless the area is a component of interior parking </w:t>
      </w:r>
      <w:r w:rsidRPr="00E211A7">
        <w:rPr>
          <w:rFonts w:ascii="Arial" w:eastAsia="Calibri" w:hAnsi="Arial" w:cs="Arial"/>
          <w:i/>
        </w:rPr>
        <w:t>landscape</w:t>
      </w:r>
      <w:r w:rsidRPr="00E211A7">
        <w:rPr>
          <w:rFonts w:ascii="Arial" w:eastAsia="Calibri" w:hAnsi="Arial" w:cs="Arial"/>
        </w:rPr>
        <w:t xml:space="preserve"> and meets the requirements for </w:t>
      </w:r>
      <w:r w:rsidRPr="00E211A7">
        <w:rPr>
          <w:rFonts w:ascii="Arial" w:eastAsia="Calibri" w:hAnsi="Arial" w:cs="Arial"/>
          <w:i/>
        </w:rPr>
        <w:t>open space</w:t>
      </w:r>
      <w:r w:rsidRPr="00E211A7">
        <w:rPr>
          <w:rFonts w:ascii="Arial" w:eastAsia="Calibri" w:hAnsi="Arial" w:cs="Arial"/>
        </w:rPr>
        <w:t xml:space="preserve"> credits for </w:t>
      </w:r>
      <w:r w:rsidRPr="00E211A7">
        <w:rPr>
          <w:rFonts w:ascii="Arial" w:eastAsia="Calibri" w:hAnsi="Arial" w:cs="Arial"/>
          <w:i/>
        </w:rPr>
        <w:t>water harvesting</w:t>
      </w:r>
      <w:r w:rsidRPr="00E211A7">
        <w:rPr>
          <w:rFonts w:ascii="Arial" w:eastAsia="Calibri" w:hAnsi="Arial" w:cs="Arial"/>
        </w:rPr>
        <w:t xml:space="preserve"> described in 14-7.5(D)(6).</w:t>
      </w:r>
    </w:p>
    <w:p w14:paraId="60E22E3F" w14:textId="77777777" w:rsidR="00E611D6" w:rsidRPr="00E211A7" w:rsidRDefault="00E611D6" w:rsidP="00E611D6">
      <w:pPr>
        <w:pStyle w:val="SF1text"/>
        <w:spacing w:after="0"/>
        <w:ind w:left="2880"/>
      </w:pPr>
    </w:p>
    <w:p w14:paraId="601510AF" w14:textId="77777777" w:rsidR="00E611D6" w:rsidRPr="00E211A7" w:rsidRDefault="00E611D6" w:rsidP="00E611D6">
      <w:pPr>
        <w:pStyle w:val="SF1text"/>
        <w:spacing w:after="0"/>
        <w:ind w:left="2880"/>
      </w:pPr>
      <w:r w:rsidRPr="00E211A7">
        <w:t xml:space="preserve">The percentage of </w:t>
      </w:r>
      <w:r w:rsidRPr="00E211A7">
        <w:rPr>
          <w:i/>
        </w:rPr>
        <w:t>required open space</w:t>
      </w:r>
      <w:r w:rsidRPr="00E211A7">
        <w:t xml:space="preserve"> shall be calculated on the basis of total </w:t>
      </w:r>
      <w:r w:rsidRPr="00E211A7">
        <w:rPr>
          <w:i/>
        </w:rPr>
        <w:t>lot</w:t>
      </w:r>
      <w:r w:rsidRPr="00E211A7">
        <w:t xml:space="preserve"> area, and shall be no less than 25% unless the conditions described in 14-7.5(D)(6) are met; then the </w:t>
      </w:r>
      <w:r w:rsidRPr="00E211A7">
        <w:rPr>
          <w:i/>
        </w:rPr>
        <w:t>required open space</w:t>
      </w:r>
      <w:r w:rsidRPr="00E211A7">
        <w:t xml:space="preserve"> may be reduced by a maximum of 10% of the total </w:t>
      </w:r>
      <w:r w:rsidRPr="00E211A7">
        <w:rPr>
          <w:i/>
        </w:rPr>
        <w:t>lot</w:t>
      </w:r>
      <w:r w:rsidRPr="00E211A7">
        <w:t xml:space="preserve"> size. </w:t>
      </w:r>
    </w:p>
    <w:p w14:paraId="232DF5B3" w14:textId="77777777" w:rsidR="006D242E" w:rsidRPr="00E211A7" w:rsidRDefault="00E611D6" w:rsidP="00E611D6">
      <w:pPr>
        <w:rPr>
          <w:rFonts w:ascii="Arial" w:hAnsi="Arial" w:cs="Arial"/>
        </w:rPr>
      </w:pPr>
      <w:r w:rsidRPr="00E211A7">
        <w:rPr>
          <w:rFonts w:ascii="Arial" w:hAnsi="Arial" w:cs="Arial"/>
        </w:rPr>
        <w:tab/>
      </w:r>
    </w:p>
    <w:sectPr w:rsidR="006D242E" w:rsidRPr="00E211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4401" w14:textId="77777777" w:rsidR="008C068C" w:rsidRDefault="008C068C" w:rsidP="008C068C">
      <w:pPr>
        <w:spacing w:after="0" w:line="240" w:lineRule="auto"/>
      </w:pPr>
      <w:r>
        <w:separator/>
      </w:r>
    </w:p>
  </w:endnote>
  <w:endnote w:type="continuationSeparator" w:id="0">
    <w:p w14:paraId="3A9B98D6" w14:textId="77777777" w:rsidR="008C068C" w:rsidRDefault="008C068C" w:rsidP="008C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C2D2" w14:textId="77777777" w:rsidR="00061336" w:rsidRDefault="00061336" w:rsidP="00376D8E">
    <w:pPr>
      <w:pStyle w:val="Footer"/>
      <w:rPr>
        <w:rFonts w:eastAsia="Times New Roman" w:cs="Times New Roman"/>
        <w:i/>
        <w:sz w:val="18"/>
        <w:szCs w:val="18"/>
      </w:rPr>
    </w:pPr>
  </w:p>
  <w:p w14:paraId="606F9AA9" w14:textId="4578C322" w:rsidR="008C068C" w:rsidRDefault="00376D8E" w:rsidP="00025F23">
    <w:pPr>
      <w:pStyle w:val="Footer"/>
      <w:ind w:left="-360"/>
    </w:pPr>
    <w:r w:rsidRPr="00393790">
      <w:rPr>
        <w:rFonts w:eastAsia="Times New Roman" w:cs="Times New Roman"/>
        <w:i/>
        <w:sz w:val="18"/>
        <w:szCs w:val="18"/>
      </w:rPr>
      <w:t xml:space="preserve">The information provided in this </w:t>
    </w:r>
    <w:r>
      <w:rPr>
        <w:rFonts w:eastAsia="Times New Roman" w:cs="Times New Roman"/>
        <w:i/>
        <w:sz w:val="18"/>
        <w:szCs w:val="18"/>
      </w:rPr>
      <w:t>is a summary of the</w:t>
    </w:r>
    <w:r w:rsidRPr="00393790">
      <w:rPr>
        <w:rFonts w:eastAsia="Times New Roman" w:cs="Times New Roman"/>
        <w:i/>
        <w:sz w:val="18"/>
        <w:szCs w:val="18"/>
      </w:rPr>
      <w:t xml:space="preserve"> Chapter 14, SFCC 1987</w:t>
    </w:r>
    <w:r>
      <w:rPr>
        <w:rFonts w:eastAsia="Times New Roman" w:cs="Times New Roman"/>
        <w:i/>
        <w:sz w:val="18"/>
        <w:szCs w:val="18"/>
      </w:rPr>
      <w:t xml:space="preserve"> as of the date in which it was assembled. Please reference the City of Santa Fe Chapter 14 SFCC regarding this district (Chapter 14-4 Zoning Districts, Chapter 14-6 Permitted Uses, and Chapter 14-7 Building Envelope and Open Space Standards and Measurements) </w:t>
    </w:r>
    <w:hyperlink r:id="rId1" w:history="1">
      <w:r w:rsidR="00E211A7" w:rsidRPr="0061252D">
        <w:rPr>
          <w:rStyle w:val="Hyperlink"/>
          <w:rFonts w:eastAsia="Times New Roman" w:cs="Times New Roman"/>
          <w:i/>
          <w:sz w:val="18"/>
          <w:szCs w:val="18"/>
        </w:rPr>
        <w:t>https://library.municode.com/nm/santa_fe/codes/code_of_ordinances?nodeId=CH14LADE</w:t>
      </w:r>
    </w:hyperlink>
    <w:r w:rsidR="00E211A7">
      <w:rPr>
        <w:rFonts w:eastAsia="Times New Roman" w:cs="Times New Roman"/>
        <w:i/>
        <w:sz w:val="18"/>
        <w:szCs w:val="18"/>
      </w:rPr>
      <w:t>. February 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AEF1" w14:textId="77777777" w:rsidR="008C068C" w:rsidRDefault="008C068C" w:rsidP="008C068C">
      <w:pPr>
        <w:spacing w:after="0" w:line="240" w:lineRule="auto"/>
      </w:pPr>
      <w:r>
        <w:separator/>
      </w:r>
    </w:p>
  </w:footnote>
  <w:footnote w:type="continuationSeparator" w:id="0">
    <w:p w14:paraId="2D741ED3" w14:textId="77777777" w:rsidR="008C068C" w:rsidRDefault="008C068C" w:rsidP="008C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8189" w14:textId="21EBCAAE" w:rsidR="00C20C27" w:rsidRDefault="00C20C2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CB49CD" wp14:editId="2ADB407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eastAsia="Times New Roman" w:hAnsi="Arial" w:cs="Arial"/>
                              <w:b/>
                              <w:bCs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5F0169F" w14:textId="439C3E6A" w:rsidR="00C20C27" w:rsidRDefault="00C20C2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</w:rPr>
                                <w:t xml:space="preserve">Dimensional Standards </w:t>
                              </w:r>
                              <w:r w:rsidRPr="00C20C2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</w:rPr>
                                <w:t>C-1 Office and Related Commercial District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CB49C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Arial" w:eastAsia="Times New Roman" w:hAnsi="Arial" w:cs="Arial"/>
                        <w:b/>
                        <w:bCs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5F0169F" w14:textId="439C3E6A" w:rsidR="00C20C27" w:rsidRDefault="00C20C2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 xml:space="preserve">Dimensional Standards </w:t>
                        </w:r>
                        <w:r w:rsidRPr="00C20C27"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C-1 Office and Related Commercial District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55B"/>
    <w:multiLevelType w:val="hybridMultilevel"/>
    <w:tmpl w:val="2A1E3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D6"/>
    <w:rsid w:val="00025F23"/>
    <w:rsid w:val="00061336"/>
    <w:rsid w:val="00376D8E"/>
    <w:rsid w:val="006D242E"/>
    <w:rsid w:val="00735AEB"/>
    <w:rsid w:val="008C068C"/>
    <w:rsid w:val="00C20C27"/>
    <w:rsid w:val="00E211A7"/>
    <w:rsid w:val="00E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F44A6C"/>
  <w15:chartTrackingRefBased/>
  <w15:docId w15:val="{81DC6754-8CD5-4632-BE4F-F3D28C31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SF (A) Title"/>
    <w:basedOn w:val="Normal"/>
    <w:next w:val="Normal"/>
    <w:link w:val="Heading3Char"/>
    <w:qFormat/>
    <w:rsid w:val="00E611D6"/>
    <w:pPr>
      <w:keepNext/>
      <w:spacing w:after="200" w:line="240" w:lineRule="auto"/>
      <w:ind w:left="1440" w:hanging="720"/>
      <w:jc w:val="both"/>
      <w:outlineLvl w:val="2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F (A) Title Char"/>
    <w:basedOn w:val="DefaultParagraphFont"/>
    <w:link w:val="Heading3"/>
    <w:rsid w:val="00E611D6"/>
    <w:rPr>
      <w:rFonts w:ascii="Arial" w:eastAsia="Times New Roman" w:hAnsi="Arial" w:cs="Arial"/>
      <w:b/>
      <w:bCs/>
    </w:rPr>
  </w:style>
  <w:style w:type="paragraph" w:customStyle="1" w:styleId="SFAtext">
    <w:name w:val="SF (A) text"/>
    <w:basedOn w:val="Normal"/>
    <w:semiHidden/>
    <w:rsid w:val="00E611D6"/>
    <w:pPr>
      <w:spacing w:after="200" w:line="240" w:lineRule="auto"/>
      <w:ind w:left="1440"/>
      <w:jc w:val="both"/>
    </w:pPr>
    <w:rPr>
      <w:rFonts w:ascii="Arial" w:eastAsia="Times" w:hAnsi="Arial" w:cs="Times New Roman"/>
    </w:rPr>
  </w:style>
  <w:style w:type="paragraph" w:customStyle="1" w:styleId="SFitext">
    <w:name w:val="SF (i) text"/>
    <w:basedOn w:val="SFAtext"/>
    <w:uiPriority w:val="99"/>
    <w:semiHidden/>
    <w:rsid w:val="00E611D6"/>
    <w:pPr>
      <w:ind w:left="3600" w:hanging="720"/>
    </w:pPr>
  </w:style>
  <w:style w:type="paragraph" w:customStyle="1" w:styleId="SF1text">
    <w:name w:val="SF (1) text"/>
    <w:basedOn w:val="Normal"/>
    <w:next w:val="Normal"/>
    <w:autoRedefine/>
    <w:uiPriority w:val="99"/>
    <w:semiHidden/>
    <w:rsid w:val="00E611D6"/>
    <w:pPr>
      <w:spacing w:after="200" w:line="240" w:lineRule="auto"/>
      <w:jc w:val="both"/>
    </w:pPr>
    <w:rPr>
      <w:rFonts w:ascii="Arial" w:eastAsia="Times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C0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8C"/>
  </w:style>
  <w:style w:type="paragraph" w:styleId="Footer">
    <w:name w:val="footer"/>
    <w:basedOn w:val="Normal"/>
    <w:link w:val="FooterChar"/>
    <w:uiPriority w:val="99"/>
    <w:unhideWhenUsed/>
    <w:rsid w:val="008C0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8C"/>
  </w:style>
  <w:style w:type="character" w:styleId="Hyperlink">
    <w:name w:val="Hyperlink"/>
    <w:basedOn w:val="DefaultParagraphFont"/>
    <w:uiPriority w:val="99"/>
    <w:unhideWhenUsed/>
    <w:rsid w:val="00376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.municode.com/nm/santa_fe/codes/code_of_ordinances?nodeId=CH14L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Dimensional Standards C-1 Office and Related Commercial District</dc:title>
  <dc:subject/>
  <dc:creator>MCCULLEY, LANI J.</dc:creator>
  <cp:keywords/>
  <dc:description/>
  <cp:lastModifiedBy>MCCULLEY, LANI J.</cp:lastModifiedBy>
  <cp:revision>6</cp:revision>
  <dcterms:created xsi:type="dcterms:W3CDTF">2022-01-17T17:52:00Z</dcterms:created>
  <dcterms:modified xsi:type="dcterms:W3CDTF">2022-02-04T01:56:00Z</dcterms:modified>
</cp:coreProperties>
</file>