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MON_1535206871"/>
    <w:bookmarkEnd w:id="0"/>
    <w:p w:rsidR="00102F89" w:rsidRPr="0029379A" w:rsidRDefault="00A37A3A" w:rsidP="00102F89">
      <w:pPr>
        <w:spacing w:line="20" w:lineRule="atLeast"/>
        <w:jc w:val="center"/>
        <w:rPr>
          <w:b/>
          <w:sz w:val="28"/>
        </w:rPr>
      </w:pPr>
      <w:r>
        <w:rPr>
          <w:b/>
          <w:sz w:val="28"/>
        </w:rPr>
        <w:object w:dxaOrig="10213" w:dyaOrig="129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0.6pt;height:646.2pt" o:ole="">
            <v:imagedata r:id="rId9" o:title=""/>
          </v:shape>
          <o:OLEObject Type="Embed" ProgID="Word.Document.8" ShapeID="_x0000_i1025" DrawAspect="Content" ObjectID="_1565419227" r:id="rId10">
            <o:FieldCodes>\s</o:FieldCodes>
          </o:OLEObject>
        </w:object>
      </w:r>
      <w:r w:rsidR="00102F89" w:rsidRPr="0029379A">
        <w:rPr>
          <w:b/>
          <w:sz w:val="28"/>
        </w:rPr>
        <w:t>TABLE OF CONTENTS</w:t>
      </w:r>
    </w:p>
    <w:p w:rsidR="005E753D" w:rsidRDefault="001D1232" w:rsidP="002A5A4C">
      <w:pPr>
        <w:pStyle w:val="TOC2"/>
        <w:rPr>
          <w:rFonts w:asciiTheme="minorHAnsi" w:eastAsiaTheme="minorEastAsia" w:hAnsiTheme="minorHAnsi" w:cstheme="minorBidi"/>
          <w:noProof/>
        </w:rPr>
      </w:pPr>
      <w:hyperlink w:anchor="_Toc426364864" w:history="1">
        <w:r w:rsidR="005E753D" w:rsidRPr="00A81A50">
          <w:rPr>
            <w:rStyle w:val="Hyperlink"/>
            <w:noProof/>
          </w:rPr>
          <w:t>Background</w:t>
        </w:r>
        <w:r w:rsidR="005E753D">
          <w:rPr>
            <w:noProof/>
            <w:webHidden/>
          </w:rPr>
          <w:tab/>
        </w:r>
        <w:r w:rsidR="005E753D">
          <w:rPr>
            <w:noProof/>
            <w:webHidden/>
          </w:rPr>
          <w:fldChar w:fldCharType="begin"/>
        </w:r>
        <w:r w:rsidR="005E753D">
          <w:rPr>
            <w:noProof/>
            <w:webHidden/>
          </w:rPr>
          <w:instrText xml:space="preserve"> PAGEREF _Toc426364864 \h </w:instrText>
        </w:r>
        <w:r w:rsidR="005E753D">
          <w:rPr>
            <w:noProof/>
            <w:webHidden/>
          </w:rPr>
        </w:r>
        <w:r w:rsidR="005E753D">
          <w:rPr>
            <w:noProof/>
            <w:webHidden/>
          </w:rPr>
          <w:fldChar w:fldCharType="separate"/>
        </w:r>
        <w:r w:rsidR="007E1C65">
          <w:rPr>
            <w:noProof/>
            <w:webHidden/>
          </w:rPr>
          <w:t>3</w:t>
        </w:r>
        <w:r w:rsidR="005E753D">
          <w:rPr>
            <w:noProof/>
            <w:webHidden/>
          </w:rPr>
          <w:fldChar w:fldCharType="end"/>
        </w:r>
      </w:hyperlink>
    </w:p>
    <w:p w:rsidR="007F144C" w:rsidRDefault="00102F89" w:rsidP="002A5A4C">
      <w:pPr>
        <w:pStyle w:val="TOC2"/>
        <w:rPr>
          <w:rFonts w:asciiTheme="minorHAnsi" w:eastAsiaTheme="minorEastAsia" w:hAnsiTheme="minorHAnsi" w:cstheme="minorBidi"/>
          <w:noProof/>
        </w:rPr>
      </w:pPr>
      <w:r w:rsidRPr="0029379A">
        <w:fldChar w:fldCharType="begin"/>
      </w:r>
      <w:r w:rsidRPr="0029379A">
        <w:instrText xml:space="preserve"> TOC \o "1-3" \h \z \u </w:instrText>
      </w:r>
      <w:r w:rsidRPr="0029379A">
        <w:fldChar w:fldCharType="separate"/>
      </w:r>
      <w:hyperlink w:anchor="_Toc426364863" w:history="1">
        <w:r w:rsidR="007F144C" w:rsidRPr="00A81A50">
          <w:rPr>
            <w:rStyle w:val="Hyperlink"/>
            <w:noProof/>
          </w:rPr>
          <w:t>CR-05 - Goals and Outcomes</w:t>
        </w:r>
        <w:r w:rsidR="007F144C">
          <w:rPr>
            <w:noProof/>
            <w:webHidden/>
          </w:rPr>
          <w:tab/>
        </w:r>
        <w:r w:rsidR="007F144C">
          <w:rPr>
            <w:noProof/>
            <w:webHidden/>
          </w:rPr>
          <w:fldChar w:fldCharType="begin"/>
        </w:r>
        <w:r w:rsidR="007F144C">
          <w:rPr>
            <w:noProof/>
            <w:webHidden/>
          </w:rPr>
          <w:instrText xml:space="preserve"> PAGEREF _Toc426364863 \h </w:instrText>
        </w:r>
        <w:r w:rsidR="007F144C">
          <w:rPr>
            <w:noProof/>
            <w:webHidden/>
          </w:rPr>
        </w:r>
        <w:r w:rsidR="007F144C">
          <w:rPr>
            <w:noProof/>
            <w:webHidden/>
          </w:rPr>
          <w:fldChar w:fldCharType="separate"/>
        </w:r>
        <w:r w:rsidR="007E1C65">
          <w:rPr>
            <w:noProof/>
            <w:webHidden/>
          </w:rPr>
          <w:t>3</w:t>
        </w:r>
        <w:r w:rsidR="007F144C">
          <w:rPr>
            <w:noProof/>
            <w:webHidden/>
          </w:rPr>
          <w:fldChar w:fldCharType="end"/>
        </w:r>
      </w:hyperlink>
    </w:p>
    <w:p w:rsidR="00331A5A" w:rsidRDefault="001D1232" w:rsidP="002A5A4C">
      <w:pPr>
        <w:pStyle w:val="TOC2"/>
        <w:rPr>
          <w:rFonts w:asciiTheme="minorHAnsi" w:eastAsiaTheme="minorEastAsia" w:hAnsiTheme="minorHAnsi" w:cstheme="minorBidi"/>
          <w:noProof/>
        </w:rPr>
      </w:pPr>
      <w:hyperlink w:anchor="_Toc426364864" w:history="1">
        <w:r w:rsidR="00331A5A">
          <w:rPr>
            <w:rStyle w:val="Hyperlink"/>
            <w:noProof/>
          </w:rPr>
          <w:t>CR-10 – Racial and Ethnic Composition of Person/Household/Family</w:t>
        </w:r>
        <w:r w:rsidR="00331A5A">
          <w:rPr>
            <w:noProof/>
            <w:webHidden/>
          </w:rPr>
          <w:tab/>
          <w:t>1</w:t>
        </w:r>
        <w:r w:rsidR="0057316C">
          <w:rPr>
            <w:noProof/>
            <w:webHidden/>
          </w:rPr>
          <w:t>4</w:t>
        </w:r>
      </w:hyperlink>
    </w:p>
    <w:p w:rsidR="007F144C" w:rsidRDefault="001D1232" w:rsidP="002A5A4C">
      <w:pPr>
        <w:pStyle w:val="TOC2"/>
        <w:rPr>
          <w:rFonts w:asciiTheme="minorHAnsi" w:eastAsiaTheme="minorEastAsia" w:hAnsiTheme="minorHAnsi" w:cstheme="minorBidi"/>
          <w:noProof/>
        </w:rPr>
      </w:pPr>
      <w:hyperlink w:anchor="_Toc426364865" w:history="1">
        <w:r w:rsidR="007F144C" w:rsidRPr="00A81A50">
          <w:rPr>
            <w:rStyle w:val="Hyperlink"/>
            <w:noProof/>
          </w:rPr>
          <w:t>CR-15 - Resources and Investments 91.520(a)</w:t>
        </w:r>
        <w:r w:rsidR="007F144C">
          <w:rPr>
            <w:noProof/>
            <w:webHidden/>
          </w:rPr>
          <w:tab/>
        </w:r>
        <w:r w:rsidR="007F144C">
          <w:rPr>
            <w:noProof/>
            <w:webHidden/>
          </w:rPr>
          <w:fldChar w:fldCharType="begin"/>
        </w:r>
        <w:r w:rsidR="007F144C">
          <w:rPr>
            <w:noProof/>
            <w:webHidden/>
          </w:rPr>
          <w:instrText xml:space="preserve"> PAGEREF _Toc426364865 \h </w:instrText>
        </w:r>
        <w:r w:rsidR="007F144C">
          <w:rPr>
            <w:noProof/>
            <w:webHidden/>
          </w:rPr>
        </w:r>
        <w:r w:rsidR="007F144C">
          <w:rPr>
            <w:noProof/>
            <w:webHidden/>
          </w:rPr>
          <w:fldChar w:fldCharType="separate"/>
        </w:r>
        <w:r w:rsidR="007E1C65">
          <w:rPr>
            <w:noProof/>
            <w:webHidden/>
          </w:rPr>
          <w:t>15</w:t>
        </w:r>
        <w:r w:rsidR="007F144C">
          <w:rPr>
            <w:noProof/>
            <w:webHidden/>
          </w:rPr>
          <w:fldChar w:fldCharType="end"/>
        </w:r>
      </w:hyperlink>
    </w:p>
    <w:p w:rsidR="007F144C" w:rsidRDefault="001D1232" w:rsidP="002A5A4C">
      <w:pPr>
        <w:pStyle w:val="TOC2"/>
        <w:rPr>
          <w:rFonts w:asciiTheme="minorHAnsi" w:eastAsiaTheme="minorEastAsia" w:hAnsiTheme="minorHAnsi" w:cstheme="minorBidi"/>
          <w:noProof/>
        </w:rPr>
      </w:pPr>
      <w:hyperlink w:anchor="_Toc426364866" w:history="1">
        <w:r w:rsidR="007F144C" w:rsidRPr="00A81A50">
          <w:rPr>
            <w:rStyle w:val="Hyperlink"/>
            <w:noProof/>
          </w:rPr>
          <w:t>CR-20 - Affordable Housing 91.520(b)</w:t>
        </w:r>
        <w:r w:rsidR="007F144C">
          <w:rPr>
            <w:noProof/>
            <w:webHidden/>
          </w:rPr>
          <w:tab/>
        </w:r>
        <w:r w:rsidR="007F144C">
          <w:rPr>
            <w:noProof/>
            <w:webHidden/>
          </w:rPr>
          <w:fldChar w:fldCharType="begin"/>
        </w:r>
        <w:r w:rsidR="007F144C">
          <w:rPr>
            <w:noProof/>
            <w:webHidden/>
          </w:rPr>
          <w:instrText xml:space="preserve"> PAGEREF _Toc426364866 \h </w:instrText>
        </w:r>
        <w:r w:rsidR="007F144C">
          <w:rPr>
            <w:noProof/>
            <w:webHidden/>
          </w:rPr>
        </w:r>
        <w:r w:rsidR="007F144C">
          <w:rPr>
            <w:noProof/>
            <w:webHidden/>
          </w:rPr>
          <w:fldChar w:fldCharType="separate"/>
        </w:r>
        <w:r w:rsidR="007E1C65">
          <w:rPr>
            <w:noProof/>
            <w:webHidden/>
          </w:rPr>
          <w:t>17</w:t>
        </w:r>
        <w:r w:rsidR="007F144C">
          <w:rPr>
            <w:noProof/>
            <w:webHidden/>
          </w:rPr>
          <w:fldChar w:fldCharType="end"/>
        </w:r>
      </w:hyperlink>
    </w:p>
    <w:p w:rsidR="007F144C" w:rsidRDefault="001D1232" w:rsidP="002A5A4C">
      <w:pPr>
        <w:pStyle w:val="TOC2"/>
        <w:rPr>
          <w:rFonts w:asciiTheme="minorHAnsi" w:eastAsiaTheme="minorEastAsia" w:hAnsiTheme="minorHAnsi" w:cstheme="minorBidi"/>
          <w:noProof/>
        </w:rPr>
      </w:pPr>
      <w:hyperlink w:anchor="_Toc426364867" w:history="1">
        <w:r w:rsidR="007F144C" w:rsidRPr="00A81A50">
          <w:rPr>
            <w:rStyle w:val="Hyperlink"/>
            <w:noProof/>
          </w:rPr>
          <w:t>CR-25 - Homeless and Other Special Needs 91.220(d, e); 91.320(d, e); 91.520(c)</w:t>
        </w:r>
        <w:r w:rsidR="007F144C">
          <w:rPr>
            <w:noProof/>
            <w:webHidden/>
          </w:rPr>
          <w:tab/>
        </w:r>
        <w:r w:rsidR="007F144C">
          <w:rPr>
            <w:noProof/>
            <w:webHidden/>
          </w:rPr>
          <w:fldChar w:fldCharType="begin"/>
        </w:r>
        <w:r w:rsidR="007F144C">
          <w:rPr>
            <w:noProof/>
            <w:webHidden/>
          </w:rPr>
          <w:instrText xml:space="preserve"> PAGEREF _Toc426364867 \h </w:instrText>
        </w:r>
        <w:r w:rsidR="007F144C">
          <w:rPr>
            <w:noProof/>
            <w:webHidden/>
          </w:rPr>
        </w:r>
        <w:r w:rsidR="007F144C">
          <w:rPr>
            <w:noProof/>
            <w:webHidden/>
          </w:rPr>
          <w:fldChar w:fldCharType="separate"/>
        </w:r>
        <w:r w:rsidR="007E1C65">
          <w:rPr>
            <w:noProof/>
            <w:webHidden/>
          </w:rPr>
          <w:t>20</w:t>
        </w:r>
        <w:r w:rsidR="007F144C">
          <w:rPr>
            <w:noProof/>
            <w:webHidden/>
          </w:rPr>
          <w:fldChar w:fldCharType="end"/>
        </w:r>
      </w:hyperlink>
    </w:p>
    <w:p w:rsidR="007F144C" w:rsidRDefault="001D1232" w:rsidP="002A5A4C">
      <w:pPr>
        <w:pStyle w:val="TOC2"/>
        <w:rPr>
          <w:rFonts w:asciiTheme="minorHAnsi" w:eastAsiaTheme="minorEastAsia" w:hAnsiTheme="minorHAnsi" w:cstheme="minorBidi"/>
          <w:noProof/>
        </w:rPr>
      </w:pPr>
      <w:hyperlink w:anchor="_Toc426364868" w:history="1">
        <w:r w:rsidR="007F144C" w:rsidRPr="00A81A50">
          <w:rPr>
            <w:rStyle w:val="Hyperlink"/>
            <w:noProof/>
          </w:rPr>
          <w:t>CR-30 - Public Housing 91.220(h); 91.320(j)</w:t>
        </w:r>
        <w:r w:rsidR="007F144C">
          <w:rPr>
            <w:noProof/>
            <w:webHidden/>
          </w:rPr>
          <w:tab/>
        </w:r>
        <w:r w:rsidR="007F144C">
          <w:rPr>
            <w:noProof/>
            <w:webHidden/>
          </w:rPr>
          <w:fldChar w:fldCharType="begin"/>
        </w:r>
        <w:r w:rsidR="007F144C">
          <w:rPr>
            <w:noProof/>
            <w:webHidden/>
          </w:rPr>
          <w:instrText xml:space="preserve"> PAGEREF _Toc426364868 \h </w:instrText>
        </w:r>
        <w:r w:rsidR="007F144C">
          <w:rPr>
            <w:noProof/>
            <w:webHidden/>
          </w:rPr>
        </w:r>
        <w:r w:rsidR="007F144C">
          <w:rPr>
            <w:noProof/>
            <w:webHidden/>
          </w:rPr>
          <w:fldChar w:fldCharType="separate"/>
        </w:r>
        <w:r w:rsidR="007E1C65">
          <w:rPr>
            <w:noProof/>
            <w:webHidden/>
          </w:rPr>
          <w:t>23</w:t>
        </w:r>
        <w:r w:rsidR="007F144C">
          <w:rPr>
            <w:noProof/>
            <w:webHidden/>
          </w:rPr>
          <w:fldChar w:fldCharType="end"/>
        </w:r>
      </w:hyperlink>
    </w:p>
    <w:p w:rsidR="007F144C" w:rsidRDefault="001D1232" w:rsidP="002A5A4C">
      <w:pPr>
        <w:pStyle w:val="TOC2"/>
        <w:rPr>
          <w:rFonts w:asciiTheme="minorHAnsi" w:eastAsiaTheme="minorEastAsia" w:hAnsiTheme="minorHAnsi" w:cstheme="minorBidi"/>
          <w:noProof/>
        </w:rPr>
      </w:pPr>
      <w:hyperlink w:anchor="_Toc426364869" w:history="1">
        <w:r w:rsidR="007F144C" w:rsidRPr="00A81A50">
          <w:rPr>
            <w:rStyle w:val="Hyperlink"/>
            <w:noProof/>
          </w:rPr>
          <w:t>CR-35 - Other Actions 91.220(j)-(k); 91.320(i)-(j)</w:t>
        </w:r>
        <w:r w:rsidR="007F144C">
          <w:rPr>
            <w:noProof/>
            <w:webHidden/>
          </w:rPr>
          <w:tab/>
        </w:r>
        <w:r w:rsidR="007F144C">
          <w:rPr>
            <w:noProof/>
            <w:webHidden/>
          </w:rPr>
          <w:fldChar w:fldCharType="begin"/>
        </w:r>
        <w:r w:rsidR="007F144C">
          <w:rPr>
            <w:noProof/>
            <w:webHidden/>
          </w:rPr>
          <w:instrText xml:space="preserve"> PAGEREF _Toc426364869 \h </w:instrText>
        </w:r>
        <w:r w:rsidR="007F144C">
          <w:rPr>
            <w:noProof/>
            <w:webHidden/>
          </w:rPr>
        </w:r>
        <w:r w:rsidR="007F144C">
          <w:rPr>
            <w:noProof/>
            <w:webHidden/>
          </w:rPr>
          <w:fldChar w:fldCharType="separate"/>
        </w:r>
        <w:r w:rsidR="007E1C65">
          <w:rPr>
            <w:noProof/>
            <w:webHidden/>
          </w:rPr>
          <w:t>24</w:t>
        </w:r>
        <w:r w:rsidR="007F144C">
          <w:rPr>
            <w:noProof/>
            <w:webHidden/>
          </w:rPr>
          <w:fldChar w:fldCharType="end"/>
        </w:r>
      </w:hyperlink>
    </w:p>
    <w:p w:rsidR="007F144C" w:rsidRDefault="001D1232" w:rsidP="002A5A4C">
      <w:pPr>
        <w:pStyle w:val="TOC2"/>
        <w:rPr>
          <w:rFonts w:asciiTheme="minorHAnsi" w:eastAsiaTheme="minorEastAsia" w:hAnsiTheme="minorHAnsi" w:cstheme="minorBidi"/>
          <w:noProof/>
        </w:rPr>
      </w:pPr>
      <w:hyperlink w:anchor="_Toc426364870" w:history="1">
        <w:r w:rsidR="007F144C" w:rsidRPr="00A81A50">
          <w:rPr>
            <w:rStyle w:val="Hyperlink"/>
            <w:noProof/>
          </w:rPr>
          <w:t>CR-40 - Monitoring 91.220 and 91.230</w:t>
        </w:r>
        <w:r w:rsidR="007F144C">
          <w:rPr>
            <w:noProof/>
            <w:webHidden/>
          </w:rPr>
          <w:tab/>
        </w:r>
        <w:r w:rsidR="007F144C">
          <w:rPr>
            <w:noProof/>
            <w:webHidden/>
          </w:rPr>
          <w:fldChar w:fldCharType="begin"/>
        </w:r>
        <w:r w:rsidR="007F144C">
          <w:rPr>
            <w:noProof/>
            <w:webHidden/>
          </w:rPr>
          <w:instrText xml:space="preserve"> PAGEREF _Toc426364870 \h </w:instrText>
        </w:r>
        <w:r w:rsidR="007F144C">
          <w:rPr>
            <w:noProof/>
            <w:webHidden/>
          </w:rPr>
        </w:r>
        <w:r w:rsidR="007F144C">
          <w:rPr>
            <w:noProof/>
            <w:webHidden/>
          </w:rPr>
          <w:fldChar w:fldCharType="separate"/>
        </w:r>
        <w:r w:rsidR="007E1C65">
          <w:rPr>
            <w:noProof/>
            <w:webHidden/>
          </w:rPr>
          <w:t>30</w:t>
        </w:r>
        <w:r w:rsidR="007F144C">
          <w:rPr>
            <w:noProof/>
            <w:webHidden/>
          </w:rPr>
          <w:fldChar w:fldCharType="end"/>
        </w:r>
      </w:hyperlink>
    </w:p>
    <w:p w:rsidR="007F144C" w:rsidRDefault="001D1232" w:rsidP="002A5A4C">
      <w:pPr>
        <w:pStyle w:val="TOC2"/>
        <w:rPr>
          <w:rFonts w:asciiTheme="minorHAnsi" w:eastAsiaTheme="minorEastAsia" w:hAnsiTheme="minorHAnsi" w:cstheme="minorBidi"/>
          <w:noProof/>
        </w:rPr>
      </w:pPr>
      <w:hyperlink w:anchor="_Toc426364871" w:history="1">
        <w:r w:rsidR="007F144C" w:rsidRPr="00A81A50">
          <w:rPr>
            <w:rStyle w:val="Hyperlink"/>
            <w:noProof/>
          </w:rPr>
          <w:t>CR-45 - CDBG 91.520(c)</w:t>
        </w:r>
        <w:r w:rsidR="007F144C">
          <w:rPr>
            <w:noProof/>
            <w:webHidden/>
          </w:rPr>
          <w:tab/>
        </w:r>
        <w:r w:rsidR="007F144C">
          <w:rPr>
            <w:noProof/>
            <w:webHidden/>
          </w:rPr>
          <w:fldChar w:fldCharType="begin"/>
        </w:r>
        <w:r w:rsidR="007F144C">
          <w:rPr>
            <w:noProof/>
            <w:webHidden/>
          </w:rPr>
          <w:instrText xml:space="preserve"> PAGEREF _Toc426364871 \h </w:instrText>
        </w:r>
        <w:r w:rsidR="007F144C">
          <w:rPr>
            <w:noProof/>
            <w:webHidden/>
          </w:rPr>
        </w:r>
        <w:r w:rsidR="007F144C">
          <w:rPr>
            <w:noProof/>
            <w:webHidden/>
          </w:rPr>
          <w:fldChar w:fldCharType="separate"/>
        </w:r>
        <w:r w:rsidR="007E1C65">
          <w:rPr>
            <w:noProof/>
            <w:webHidden/>
          </w:rPr>
          <w:t>34</w:t>
        </w:r>
        <w:r w:rsidR="007F144C">
          <w:rPr>
            <w:noProof/>
            <w:webHidden/>
          </w:rPr>
          <w:fldChar w:fldCharType="end"/>
        </w:r>
      </w:hyperlink>
    </w:p>
    <w:p w:rsidR="00102F89" w:rsidRPr="0029379A" w:rsidRDefault="00102F89" w:rsidP="00D97DC2">
      <w:pPr>
        <w:tabs>
          <w:tab w:val="left" w:pos="270"/>
        </w:tabs>
        <w:spacing w:after="0" w:line="20" w:lineRule="atLeast"/>
        <w:jc w:val="both"/>
      </w:pPr>
      <w:r w:rsidRPr="0029379A">
        <w:fldChar w:fldCharType="end"/>
      </w:r>
      <w:r w:rsidRPr="0029379A">
        <w:tab/>
      </w:r>
      <w:r w:rsidR="00D97DC2">
        <w:t>APPENDIX</w:t>
      </w:r>
    </w:p>
    <w:p w:rsidR="00102F89" w:rsidRPr="0029379A" w:rsidRDefault="00102F89" w:rsidP="00102F89">
      <w:pPr>
        <w:tabs>
          <w:tab w:val="left" w:pos="360"/>
        </w:tabs>
        <w:spacing w:after="0" w:line="20" w:lineRule="atLeast"/>
        <w:jc w:val="both"/>
      </w:pPr>
    </w:p>
    <w:p w:rsidR="00A37A3A" w:rsidRDefault="00A37A3A" w:rsidP="00D97DC2">
      <w:pPr>
        <w:spacing w:after="120" w:line="240" w:lineRule="auto"/>
        <w:rPr>
          <w:i/>
        </w:rPr>
        <w:sectPr w:rsidR="00A37A3A" w:rsidSect="00A37A3A">
          <w:footerReference w:type="default" r:id="rId11"/>
          <w:pgSz w:w="12240" w:h="15840"/>
          <w:pgMar w:top="1530" w:right="1440" w:bottom="1440" w:left="1440" w:header="720" w:footer="720" w:gutter="0"/>
          <w:cols w:space="720"/>
          <w:titlePg/>
          <w:docGrid w:linePitch="360"/>
        </w:sectPr>
      </w:pPr>
    </w:p>
    <w:p w:rsidR="00667C28" w:rsidRDefault="007137DF">
      <w:pPr>
        <w:pStyle w:val="Heading2"/>
        <w:rPr>
          <w:rFonts w:ascii="Calibri" w:hAnsi="Calibri"/>
          <w:i w:val="0"/>
        </w:rPr>
      </w:pPr>
      <w:bookmarkStart w:id="1" w:name="_Toc426364863"/>
      <w:r>
        <w:rPr>
          <w:rFonts w:ascii="Calibri" w:hAnsi="Calibri"/>
          <w:i w:val="0"/>
        </w:rPr>
        <w:lastRenderedPageBreak/>
        <w:t>CR-05 - Goals and Outcomes</w:t>
      </w:r>
      <w:bookmarkEnd w:id="1"/>
    </w:p>
    <w:p w:rsidR="009D326F" w:rsidRPr="000E50CC" w:rsidRDefault="009D326F" w:rsidP="009D326F">
      <w:pPr>
        <w:pStyle w:val="Heading2"/>
        <w:spacing w:before="100" w:beforeAutospacing="1" w:after="100" w:afterAutospacing="1" w:line="240" w:lineRule="auto"/>
        <w:rPr>
          <w:rFonts w:ascii="Calibri" w:hAnsi="Calibri"/>
          <w:i w:val="0"/>
          <w:sz w:val="24"/>
          <w:szCs w:val="24"/>
        </w:rPr>
      </w:pPr>
      <w:bookmarkStart w:id="2" w:name="_Toc426364864"/>
      <w:r w:rsidRPr="000E50CC">
        <w:rPr>
          <w:rFonts w:ascii="Calibri" w:hAnsi="Calibri"/>
          <w:i w:val="0"/>
          <w:sz w:val="24"/>
          <w:szCs w:val="24"/>
        </w:rPr>
        <w:t>Background</w:t>
      </w:r>
      <w:bookmarkEnd w:id="2"/>
    </w:p>
    <w:p w:rsidR="00BE6CE3" w:rsidRPr="0029379A" w:rsidRDefault="009D326F" w:rsidP="00270895">
      <w:r w:rsidRPr="0029379A">
        <w:t xml:space="preserve">The CAPER (Consolidated Annual Performance Evaluation Report) is a document that </w:t>
      </w:r>
      <w:r w:rsidR="00BE6CE3">
        <w:t>assesses</w:t>
      </w:r>
      <w:r w:rsidRPr="0029379A">
        <w:t xml:space="preserve"> the progress made in the expenditure of Community Development Block Grant (CDBG) funds </w:t>
      </w:r>
      <w:r w:rsidR="00454698">
        <w:t>during</w:t>
      </w:r>
      <w:r w:rsidRPr="0029379A">
        <w:t xml:space="preserve"> Fiscal Year 201</w:t>
      </w:r>
      <w:r w:rsidR="00454698">
        <w:t>6</w:t>
      </w:r>
      <w:r w:rsidRPr="0029379A">
        <w:t>-20</w:t>
      </w:r>
      <w:r>
        <w:t>1</w:t>
      </w:r>
      <w:r w:rsidR="00454698">
        <w:t xml:space="preserve">7 to support </w:t>
      </w:r>
      <w:r w:rsidRPr="0029379A">
        <w:t xml:space="preserve">programs that support Santa Fe’s affordable housing, public service and economic development initiatives.   The </w:t>
      </w:r>
      <w:r w:rsidR="00454698">
        <w:t>C</w:t>
      </w:r>
      <w:r w:rsidRPr="0029379A">
        <w:t>ity</w:t>
      </w:r>
      <w:r w:rsidR="00454698">
        <w:t xml:space="preserve"> of Santa Fe</w:t>
      </w:r>
      <w:r w:rsidRPr="0029379A">
        <w:t xml:space="preserve">, as an </w:t>
      </w:r>
      <w:r w:rsidR="00454698">
        <w:t xml:space="preserve">entitlement </w:t>
      </w:r>
      <w:r w:rsidRPr="0029379A">
        <w:t xml:space="preserve">grant recipient of CDBG funds, is required to report to the United States Department of Housing and Urban Development (HUD) on accomplishments and progress toward the 2013-2017 Consolidated Plan Goals via the CAPER for each </w:t>
      </w:r>
      <w:r w:rsidR="00BE6CE3">
        <w:t xml:space="preserve">recently completed </w:t>
      </w:r>
      <w:r w:rsidRPr="0029379A">
        <w:t xml:space="preserve">fiscal year.  </w:t>
      </w:r>
      <w:r w:rsidR="00BE6CE3">
        <w:t xml:space="preserve">This report also highlights additional accomplishments supporting Consolidated Plan goals through the </w:t>
      </w:r>
      <w:r w:rsidR="00454698">
        <w:t>C</w:t>
      </w:r>
      <w:r w:rsidR="00BE6CE3">
        <w:t>ity’s own matching activities funded by the Affordable Housing Trust Fund (AHTF).</w:t>
      </w:r>
    </w:p>
    <w:p w:rsidR="00667C28" w:rsidRDefault="007137DF" w:rsidP="00C777B8">
      <w:pPr>
        <w:keepNext/>
        <w:widowControl w:val="0"/>
        <w:spacing w:line="240" w:lineRule="auto"/>
        <w:rPr>
          <w:b/>
          <w:sz w:val="28"/>
          <w:szCs w:val="28"/>
        </w:rPr>
      </w:pPr>
      <w:r>
        <w:rPr>
          <w:b/>
          <w:sz w:val="24"/>
          <w:szCs w:val="24"/>
        </w:rPr>
        <w:t>Progress the jurisdiction has made in carrying out its strategic plan and its action plan.  91.520(a)</w:t>
      </w:r>
      <w:r>
        <w:rPr>
          <w:b/>
          <w:sz w:val="28"/>
          <w:szCs w:val="28"/>
        </w:rPr>
        <w:t xml:space="preserve"> </w:t>
      </w:r>
    </w:p>
    <w:p w:rsidR="008B626D" w:rsidRPr="00472162" w:rsidRDefault="008B626D" w:rsidP="00270895">
      <w:pPr>
        <w:pStyle w:val="NormalWeb"/>
        <w:spacing w:before="0" w:beforeAutospacing="0" w:after="200" w:afterAutospacing="0" w:line="276" w:lineRule="auto"/>
        <w:rPr>
          <w:rFonts w:asciiTheme="minorHAnsi" w:hAnsiTheme="minorHAnsi"/>
          <w:sz w:val="22"/>
          <w:szCs w:val="22"/>
        </w:rPr>
      </w:pPr>
      <w:r w:rsidRPr="00472162">
        <w:rPr>
          <w:rFonts w:asciiTheme="minorHAnsi" w:hAnsiTheme="minorHAnsi"/>
          <w:sz w:val="22"/>
          <w:szCs w:val="22"/>
        </w:rPr>
        <w:t>As noted in the 2013-2017 F</w:t>
      </w:r>
      <w:r w:rsidR="00454698">
        <w:rPr>
          <w:rFonts w:asciiTheme="minorHAnsi" w:hAnsiTheme="minorHAnsi"/>
          <w:sz w:val="22"/>
          <w:szCs w:val="22"/>
        </w:rPr>
        <w:t xml:space="preserve">ive Year Consolidated Plan, </w:t>
      </w:r>
      <w:r w:rsidRPr="00472162">
        <w:rPr>
          <w:rFonts w:asciiTheme="minorHAnsi" w:hAnsiTheme="minorHAnsi"/>
          <w:sz w:val="22"/>
          <w:szCs w:val="22"/>
        </w:rPr>
        <w:t xml:space="preserve">Santa Fe is a desirable place to live for a variety of reasons.  Over the years, as second home owners and retirees relocate here, real estate values </w:t>
      </w:r>
      <w:r w:rsidR="00BE6CE3">
        <w:rPr>
          <w:rFonts w:asciiTheme="minorHAnsi" w:hAnsiTheme="minorHAnsi"/>
          <w:sz w:val="22"/>
          <w:szCs w:val="22"/>
        </w:rPr>
        <w:t xml:space="preserve">continue to rise with </w:t>
      </w:r>
      <w:r w:rsidRPr="00472162">
        <w:rPr>
          <w:rFonts w:asciiTheme="minorHAnsi" w:hAnsiTheme="minorHAnsi"/>
          <w:sz w:val="22"/>
          <w:szCs w:val="22"/>
        </w:rPr>
        <w:t xml:space="preserve">the cost of land </w:t>
      </w:r>
      <w:r w:rsidR="00BE6CE3">
        <w:rPr>
          <w:rFonts w:asciiTheme="minorHAnsi" w:hAnsiTheme="minorHAnsi"/>
          <w:sz w:val="22"/>
          <w:szCs w:val="22"/>
        </w:rPr>
        <w:t xml:space="preserve">remaining </w:t>
      </w:r>
      <w:r w:rsidRPr="00472162">
        <w:rPr>
          <w:rFonts w:asciiTheme="minorHAnsi" w:hAnsiTheme="minorHAnsi"/>
          <w:sz w:val="22"/>
          <w:szCs w:val="22"/>
        </w:rPr>
        <w:t xml:space="preserve">prohibitive for </w:t>
      </w:r>
      <w:r w:rsidR="00BE6CE3">
        <w:rPr>
          <w:rFonts w:asciiTheme="minorHAnsi" w:hAnsiTheme="minorHAnsi"/>
          <w:sz w:val="22"/>
          <w:szCs w:val="22"/>
        </w:rPr>
        <w:t>building</w:t>
      </w:r>
      <w:r w:rsidRPr="00472162">
        <w:rPr>
          <w:rFonts w:asciiTheme="minorHAnsi" w:hAnsiTheme="minorHAnsi"/>
          <w:sz w:val="22"/>
          <w:szCs w:val="22"/>
        </w:rPr>
        <w:t xml:space="preserve"> homes.  Another challenge in retaining affordable housing is that there </w:t>
      </w:r>
      <w:r w:rsidR="00454698">
        <w:rPr>
          <w:rFonts w:asciiTheme="minorHAnsi" w:hAnsiTheme="minorHAnsi"/>
          <w:sz w:val="22"/>
          <w:szCs w:val="22"/>
        </w:rPr>
        <w:t>is a sizable</w:t>
      </w:r>
      <w:r w:rsidRPr="00472162">
        <w:rPr>
          <w:rFonts w:asciiTheme="minorHAnsi" w:hAnsiTheme="minorHAnsi"/>
          <w:sz w:val="22"/>
          <w:szCs w:val="22"/>
        </w:rPr>
        <w:t xml:space="preserve"> percentage of older homes that are often more expensive than newer, entry-level homes, making it difficult to maintain a stock of affordable housing.  These factors have contributed to the policies and incentives put forth by the City Council to develop, maintain and improve affordable housing.  To this end, </w:t>
      </w:r>
      <w:r w:rsidR="00265468">
        <w:rPr>
          <w:rFonts w:asciiTheme="minorHAnsi" w:hAnsiTheme="minorHAnsi"/>
          <w:sz w:val="22"/>
          <w:szCs w:val="22"/>
        </w:rPr>
        <w:t>the City has deployed substantial resources and dedicated programming toward affordable housing including:</w:t>
      </w:r>
    </w:p>
    <w:p w:rsidR="00DC0A72" w:rsidRDefault="008B626D" w:rsidP="00DC0A72">
      <w:pPr>
        <w:pStyle w:val="NormalWeb"/>
        <w:numPr>
          <w:ilvl w:val="0"/>
          <w:numId w:val="36"/>
        </w:numPr>
        <w:spacing w:line="276" w:lineRule="auto"/>
        <w:rPr>
          <w:rFonts w:asciiTheme="minorHAnsi" w:hAnsiTheme="minorHAnsi"/>
          <w:sz w:val="22"/>
          <w:szCs w:val="22"/>
        </w:rPr>
      </w:pPr>
      <w:r w:rsidRPr="00472162">
        <w:rPr>
          <w:rFonts w:asciiTheme="minorHAnsi" w:hAnsiTheme="minorHAnsi"/>
          <w:b/>
          <w:bCs/>
          <w:sz w:val="22"/>
          <w:szCs w:val="22"/>
        </w:rPr>
        <w:t>Santa Fe Homes Program</w:t>
      </w:r>
      <w:r w:rsidR="00C777B8">
        <w:rPr>
          <w:rFonts w:asciiTheme="minorHAnsi" w:hAnsiTheme="minorHAnsi"/>
          <w:b/>
          <w:bCs/>
          <w:sz w:val="22"/>
          <w:szCs w:val="22"/>
        </w:rPr>
        <w:t xml:space="preserve"> (SFHP)</w:t>
      </w:r>
      <w:r w:rsidR="000E50CC">
        <w:rPr>
          <w:rFonts w:asciiTheme="minorHAnsi" w:hAnsiTheme="minorHAnsi"/>
          <w:sz w:val="22"/>
          <w:szCs w:val="22"/>
        </w:rPr>
        <w:t xml:space="preserve">. </w:t>
      </w:r>
      <w:r w:rsidR="00C777B8">
        <w:rPr>
          <w:rFonts w:asciiTheme="minorHAnsi" w:hAnsiTheme="minorHAnsi"/>
          <w:sz w:val="22"/>
          <w:szCs w:val="22"/>
        </w:rPr>
        <w:t>SFHP is the City’s</w:t>
      </w:r>
      <w:r w:rsidRPr="00472162">
        <w:rPr>
          <w:rFonts w:asciiTheme="minorHAnsi" w:hAnsiTheme="minorHAnsi"/>
          <w:sz w:val="22"/>
          <w:szCs w:val="22"/>
        </w:rPr>
        <w:t xml:space="preserve"> inclusionary zoning program</w:t>
      </w:r>
      <w:r w:rsidR="00265468">
        <w:rPr>
          <w:rFonts w:asciiTheme="minorHAnsi" w:hAnsiTheme="minorHAnsi"/>
          <w:sz w:val="22"/>
          <w:szCs w:val="22"/>
        </w:rPr>
        <w:t>, codified in SFCC-26.1.</w:t>
      </w:r>
      <w:r w:rsidRPr="00472162">
        <w:rPr>
          <w:rFonts w:asciiTheme="minorHAnsi" w:hAnsiTheme="minorHAnsi"/>
          <w:sz w:val="22"/>
          <w:szCs w:val="22"/>
        </w:rPr>
        <w:t xml:space="preserve"> </w:t>
      </w:r>
      <w:r w:rsidR="00265468">
        <w:rPr>
          <w:rFonts w:asciiTheme="minorHAnsi" w:hAnsiTheme="minorHAnsi"/>
          <w:sz w:val="22"/>
          <w:szCs w:val="22"/>
        </w:rPr>
        <w:t>It r</w:t>
      </w:r>
      <w:r w:rsidRPr="00472162">
        <w:rPr>
          <w:rFonts w:asciiTheme="minorHAnsi" w:hAnsiTheme="minorHAnsi"/>
          <w:sz w:val="22"/>
          <w:szCs w:val="22"/>
        </w:rPr>
        <w:t xml:space="preserve">equires all residential developments </w:t>
      </w:r>
      <w:r w:rsidR="00265468">
        <w:rPr>
          <w:rFonts w:asciiTheme="minorHAnsi" w:hAnsiTheme="minorHAnsi"/>
          <w:sz w:val="22"/>
          <w:szCs w:val="22"/>
        </w:rPr>
        <w:t>include a</w:t>
      </w:r>
      <w:r w:rsidR="00C777B8">
        <w:rPr>
          <w:rFonts w:asciiTheme="minorHAnsi" w:hAnsiTheme="minorHAnsi"/>
          <w:sz w:val="22"/>
          <w:szCs w:val="22"/>
        </w:rPr>
        <w:t xml:space="preserve"> </w:t>
      </w:r>
      <w:r w:rsidRPr="00472162">
        <w:rPr>
          <w:rFonts w:asciiTheme="minorHAnsi" w:hAnsiTheme="minorHAnsi"/>
          <w:sz w:val="22"/>
          <w:szCs w:val="22"/>
        </w:rPr>
        <w:t xml:space="preserve">percentage of </w:t>
      </w:r>
      <w:r w:rsidR="00C777B8">
        <w:rPr>
          <w:rFonts w:asciiTheme="minorHAnsi" w:hAnsiTheme="minorHAnsi"/>
          <w:sz w:val="22"/>
          <w:szCs w:val="22"/>
        </w:rPr>
        <w:t>affordably-priced units</w:t>
      </w:r>
      <w:r w:rsidR="00265468">
        <w:rPr>
          <w:rFonts w:asciiTheme="minorHAnsi" w:hAnsiTheme="minorHAnsi"/>
          <w:sz w:val="22"/>
          <w:szCs w:val="22"/>
        </w:rPr>
        <w:t xml:space="preserve"> which is ca</w:t>
      </w:r>
      <w:r w:rsidR="00C777B8">
        <w:rPr>
          <w:rFonts w:asciiTheme="minorHAnsi" w:hAnsiTheme="minorHAnsi"/>
          <w:sz w:val="22"/>
          <w:szCs w:val="22"/>
        </w:rPr>
        <w:t xml:space="preserve">lculated based on a homebuyer or renter paying no more than 1/3 of their monthly income toward their housing costs, including utilities. For single-family owner occupied homes, 20% of new homes must be priced affordably and </w:t>
      </w:r>
      <w:r w:rsidR="000E50CC">
        <w:rPr>
          <w:rFonts w:asciiTheme="minorHAnsi" w:hAnsiTheme="minorHAnsi"/>
          <w:sz w:val="22"/>
          <w:szCs w:val="22"/>
        </w:rPr>
        <w:t xml:space="preserve">15% of </w:t>
      </w:r>
      <w:r w:rsidR="00C777B8">
        <w:rPr>
          <w:rFonts w:asciiTheme="minorHAnsi" w:hAnsiTheme="minorHAnsi"/>
          <w:sz w:val="22"/>
          <w:szCs w:val="22"/>
        </w:rPr>
        <w:t>rental units</w:t>
      </w:r>
      <w:r w:rsidR="000E50CC">
        <w:rPr>
          <w:rFonts w:asciiTheme="minorHAnsi" w:hAnsiTheme="minorHAnsi"/>
          <w:sz w:val="22"/>
          <w:szCs w:val="22"/>
        </w:rPr>
        <w:t xml:space="preserve">. </w:t>
      </w:r>
      <w:r w:rsidRPr="00472162">
        <w:rPr>
          <w:rFonts w:asciiTheme="minorHAnsi" w:hAnsiTheme="minorHAnsi"/>
          <w:sz w:val="22"/>
          <w:szCs w:val="22"/>
        </w:rPr>
        <w:t xml:space="preserve">The incentives for this program are </w:t>
      </w:r>
      <w:r w:rsidR="000E50CC">
        <w:rPr>
          <w:rFonts w:asciiTheme="minorHAnsi" w:hAnsiTheme="minorHAnsi"/>
          <w:sz w:val="22"/>
          <w:szCs w:val="22"/>
        </w:rPr>
        <w:t xml:space="preserve">a </w:t>
      </w:r>
      <w:r w:rsidRPr="00472162">
        <w:rPr>
          <w:rFonts w:asciiTheme="minorHAnsi" w:hAnsiTheme="minorHAnsi"/>
          <w:sz w:val="22"/>
          <w:szCs w:val="22"/>
        </w:rPr>
        <w:t>15</w:t>
      </w:r>
      <w:r w:rsidR="00C777B8">
        <w:rPr>
          <w:rFonts w:asciiTheme="minorHAnsi" w:hAnsiTheme="minorHAnsi"/>
          <w:sz w:val="22"/>
          <w:szCs w:val="22"/>
        </w:rPr>
        <w:t xml:space="preserve">% density bonus </w:t>
      </w:r>
      <w:r w:rsidR="000E50CC">
        <w:rPr>
          <w:rFonts w:asciiTheme="minorHAnsi" w:hAnsiTheme="minorHAnsi"/>
          <w:sz w:val="22"/>
          <w:szCs w:val="22"/>
        </w:rPr>
        <w:t>t</w:t>
      </w:r>
      <w:r w:rsidR="00C777B8">
        <w:rPr>
          <w:rFonts w:asciiTheme="minorHAnsi" w:hAnsiTheme="minorHAnsi"/>
          <w:sz w:val="22"/>
          <w:szCs w:val="22"/>
        </w:rPr>
        <w:t>o the site’s</w:t>
      </w:r>
      <w:r w:rsidRPr="00472162">
        <w:rPr>
          <w:rFonts w:asciiTheme="minorHAnsi" w:hAnsiTheme="minorHAnsi"/>
          <w:sz w:val="22"/>
          <w:szCs w:val="22"/>
        </w:rPr>
        <w:t xml:space="preserve"> underlying zoning, </w:t>
      </w:r>
      <w:r w:rsidRPr="00276D16">
        <w:rPr>
          <w:rFonts w:asciiTheme="minorHAnsi" w:hAnsiTheme="minorHAnsi"/>
          <w:sz w:val="22"/>
          <w:szCs w:val="22"/>
        </w:rPr>
        <w:t xml:space="preserve">waivers for </w:t>
      </w:r>
      <w:r w:rsidR="000E50CC">
        <w:rPr>
          <w:rFonts w:asciiTheme="minorHAnsi" w:hAnsiTheme="minorHAnsi"/>
          <w:sz w:val="22"/>
          <w:szCs w:val="22"/>
        </w:rPr>
        <w:t>hook up fees and reductions for building permit fees</w:t>
      </w:r>
      <w:r w:rsidRPr="00276D16">
        <w:rPr>
          <w:rFonts w:asciiTheme="minorHAnsi" w:hAnsiTheme="minorHAnsi"/>
          <w:sz w:val="22"/>
          <w:szCs w:val="22"/>
        </w:rPr>
        <w:t>.</w:t>
      </w:r>
      <w:r w:rsidR="00265468">
        <w:rPr>
          <w:rFonts w:asciiTheme="minorHAnsi" w:hAnsiTheme="minorHAnsi" w:cs="Arial"/>
          <w:sz w:val="22"/>
          <w:szCs w:val="22"/>
        </w:rPr>
        <w:t xml:space="preserve"> </w:t>
      </w:r>
      <w:r w:rsidR="00DC0A72">
        <w:rPr>
          <w:rFonts w:asciiTheme="minorHAnsi" w:hAnsiTheme="minorHAnsi"/>
          <w:sz w:val="22"/>
          <w:szCs w:val="22"/>
        </w:rPr>
        <w:t xml:space="preserve">When affordable homes are sold to income-certified homebuyers a lien is placed on the home as an affordability control. If the home is sold or transferred, </w:t>
      </w:r>
      <w:r w:rsidR="00DC0A72" w:rsidRPr="00472162">
        <w:rPr>
          <w:rFonts w:asciiTheme="minorHAnsi" w:hAnsiTheme="minorHAnsi"/>
          <w:sz w:val="22"/>
          <w:szCs w:val="22"/>
        </w:rPr>
        <w:t xml:space="preserve">the lien </w:t>
      </w:r>
      <w:r w:rsidR="00DC0A72">
        <w:rPr>
          <w:rFonts w:asciiTheme="minorHAnsi" w:hAnsiTheme="minorHAnsi"/>
          <w:sz w:val="22"/>
          <w:szCs w:val="22"/>
        </w:rPr>
        <w:t>is recycled to</w:t>
      </w:r>
      <w:r w:rsidR="00DC0A72" w:rsidRPr="00472162">
        <w:rPr>
          <w:rFonts w:asciiTheme="minorHAnsi" w:hAnsiTheme="minorHAnsi"/>
          <w:sz w:val="22"/>
          <w:szCs w:val="22"/>
        </w:rPr>
        <w:t xml:space="preserve"> </w:t>
      </w:r>
      <w:r w:rsidR="00DC0A72">
        <w:rPr>
          <w:rFonts w:asciiTheme="minorHAnsi" w:hAnsiTheme="minorHAnsi"/>
          <w:sz w:val="22"/>
          <w:szCs w:val="22"/>
        </w:rPr>
        <w:t xml:space="preserve">another income-certified buyer </w:t>
      </w:r>
      <w:r w:rsidR="00DC0A72" w:rsidRPr="00472162">
        <w:rPr>
          <w:rFonts w:asciiTheme="minorHAnsi" w:hAnsiTheme="minorHAnsi"/>
          <w:sz w:val="22"/>
          <w:szCs w:val="22"/>
        </w:rPr>
        <w:t xml:space="preserve">or repaid </w:t>
      </w:r>
      <w:r w:rsidR="00DC0A72">
        <w:rPr>
          <w:rFonts w:asciiTheme="minorHAnsi" w:hAnsiTheme="minorHAnsi"/>
          <w:sz w:val="22"/>
          <w:szCs w:val="22"/>
        </w:rPr>
        <w:t xml:space="preserve">to the City. The </w:t>
      </w:r>
      <w:r w:rsidR="00DC0A72" w:rsidRPr="00472162">
        <w:rPr>
          <w:rFonts w:asciiTheme="minorHAnsi" w:hAnsiTheme="minorHAnsi"/>
          <w:sz w:val="22"/>
          <w:szCs w:val="22"/>
        </w:rPr>
        <w:t xml:space="preserve">funds are deposited in the City's </w:t>
      </w:r>
      <w:r w:rsidR="00DC0A72">
        <w:rPr>
          <w:rFonts w:asciiTheme="minorHAnsi" w:hAnsiTheme="minorHAnsi"/>
          <w:sz w:val="22"/>
          <w:szCs w:val="22"/>
        </w:rPr>
        <w:t xml:space="preserve">AHTF. </w:t>
      </w:r>
    </w:p>
    <w:p w:rsidR="008B626D" w:rsidRPr="000E50CC" w:rsidRDefault="00265468" w:rsidP="00DC0A72">
      <w:pPr>
        <w:pStyle w:val="NormalWeb"/>
        <w:spacing w:line="276" w:lineRule="auto"/>
        <w:ind w:left="360"/>
        <w:rPr>
          <w:rFonts w:asciiTheme="minorHAnsi" w:hAnsiTheme="minorHAnsi"/>
          <w:sz w:val="22"/>
          <w:szCs w:val="22"/>
        </w:rPr>
      </w:pPr>
      <w:r>
        <w:rPr>
          <w:rFonts w:asciiTheme="minorHAnsi" w:hAnsiTheme="minorHAnsi" w:cs="Arial"/>
          <w:sz w:val="22"/>
          <w:szCs w:val="22"/>
        </w:rPr>
        <w:t>In 2016, the ordinance was amended to allow</w:t>
      </w:r>
      <w:r w:rsidR="00C777B8">
        <w:rPr>
          <w:rFonts w:asciiTheme="minorHAnsi" w:hAnsiTheme="minorHAnsi" w:cs="Arial"/>
          <w:sz w:val="22"/>
          <w:szCs w:val="22"/>
        </w:rPr>
        <w:t xml:space="preserve"> </w:t>
      </w:r>
      <w:r>
        <w:rPr>
          <w:rFonts w:asciiTheme="minorHAnsi" w:hAnsiTheme="minorHAnsi" w:cs="Arial"/>
          <w:sz w:val="22"/>
          <w:szCs w:val="22"/>
        </w:rPr>
        <w:t xml:space="preserve">multi-family rental </w:t>
      </w:r>
      <w:r w:rsidR="00C777B8">
        <w:rPr>
          <w:rFonts w:asciiTheme="minorHAnsi" w:hAnsiTheme="minorHAnsi" w:cs="Arial"/>
          <w:sz w:val="22"/>
          <w:szCs w:val="22"/>
        </w:rPr>
        <w:t>developers to pay a fee based on an “affordability gap” calculation (market rent – affordable rent). Th</w:t>
      </w:r>
      <w:r>
        <w:rPr>
          <w:rFonts w:asciiTheme="minorHAnsi" w:hAnsiTheme="minorHAnsi" w:cs="Arial"/>
          <w:sz w:val="22"/>
          <w:szCs w:val="22"/>
        </w:rPr>
        <w:t>e</w:t>
      </w:r>
      <w:r w:rsidR="00C777B8">
        <w:rPr>
          <w:rFonts w:asciiTheme="minorHAnsi" w:hAnsiTheme="minorHAnsi" w:cs="Arial"/>
          <w:sz w:val="22"/>
          <w:szCs w:val="22"/>
        </w:rPr>
        <w:t xml:space="preserve"> exemption sunsets in 2020 when the requirement will revert back to providing units on site. </w:t>
      </w:r>
      <w:r>
        <w:rPr>
          <w:rFonts w:asciiTheme="minorHAnsi" w:hAnsiTheme="minorHAnsi" w:cs="Arial"/>
          <w:sz w:val="22"/>
          <w:szCs w:val="22"/>
        </w:rPr>
        <w:t>Revenues collected from multi-family projects will be placed into the Affordable Housing Trust Fund (AHTF).</w:t>
      </w:r>
    </w:p>
    <w:p w:rsidR="00DC0A72" w:rsidRDefault="00265468" w:rsidP="00DC0A72">
      <w:pPr>
        <w:pStyle w:val="NormalWeb"/>
        <w:numPr>
          <w:ilvl w:val="0"/>
          <w:numId w:val="36"/>
        </w:numPr>
        <w:spacing w:line="276" w:lineRule="auto"/>
        <w:rPr>
          <w:rFonts w:asciiTheme="minorHAnsi" w:hAnsiTheme="minorHAnsi"/>
          <w:sz w:val="22"/>
          <w:szCs w:val="22"/>
        </w:rPr>
      </w:pPr>
      <w:r w:rsidRPr="00DC0A72">
        <w:rPr>
          <w:rFonts w:asciiTheme="minorHAnsi" w:hAnsiTheme="minorHAnsi"/>
          <w:b/>
          <w:bCs/>
          <w:sz w:val="22"/>
          <w:szCs w:val="22"/>
        </w:rPr>
        <w:lastRenderedPageBreak/>
        <w:t>Affordable Housing Trust Fund (AHTF)</w:t>
      </w:r>
      <w:r w:rsidR="000E50CC" w:rsidRPr="00DC0A72">
        <w:rPr>
          <w:rFonts w:asciiTheme="minorHAnsi" w:hAnsiTheme="minorHAnsi"/>
          <w:b/>
          <w:bCs/>
          <w:sz w:val="22"/>
          <w:szCs w:val="22"/>
        </w:rPr>
        <w:t xml:space="preserve">. </w:t>
      </w:r>
      <w:r w:rsidR="00BE6CE3" w:rsidRPr="00DC0A72">
        <w:rPr>
          <w:rFonts w:asciiTheme="minorHAnsi" w:hAnsiTheme="minorHAnsi"/>
          <w:sz w:val="22"/>
          <w:szCs w:val="22"/>
        </w:rPr>
        <w:t>The</w:t>
      </w:r>
      <w:r w:rsidR="008B626D" w:rsidRPr="00DC0A72">
        <w:rPr>
          <w:rFonts w:asciiTheme="minorHAnsi" w:hAnsiTheme="minorHAnsi"/>
          <w:sz w:val="22"/>
          <w:szCs w:val="22"/>
        </w:rPr>
        <w:t xml:space="preserve"> AHTF is funded through development revenues, fees paid by developers, pay </w:t>
      </w:r>
      <w:r w:rsidRPr="00DC0A72">
        <w:rPr>
          <w:rFonts w:asciiTheme="minorHAnsi" w:hAnsiTheme="minorHAnsi"/>
          <w:sz w:val="22"/>
          <w:szCs w:val="22"/>
        </w:rPr>
        <w:t>off</w:t>
      </w:r>
      <w:r w:rsidR="008B626D" w:rsidRPr="00DC0A72">
        <w:rPr>
          <w:rFonts w:asciiTheme="minorHAnsi" w:hAnsiTheme="minorHAnsi"/>
          <w:sz w:val="22"/>
          <w:szCs w:val="22"/>
        </w:rPr>
        <w:t xml:space="preserve"> of City-held liens, and land sales from Tierra Contenta. </w:t>
      </w:r>
      <w:r w:rsidR="002239F3">
        <w:rPr>
          <w:rFonts w:asciiTheme="minorHAnsi" w:hAnsiTheme="minorHAnsi"/>
          <w:sz w:val="22"/>
          <w:szCs w:val="22"/>
        </w:rPr>
        <w:t>R</w:t>
      </w:r>
      <w:r w:rsidR="002239F3" w:rsidRPr="00DC0A72">
        <w:rPr>
          <w:rFonts w:asciiTheme="minorHAnsi" w:hAnsiTheme="minorHAnsi"/>
          <w:sz w:val="22"/>
          <w:szCs w:val="22"/>
        </w:rPr>
        <w:t>esidents of moderate income below 12</w:t>
      </w:r>
      <w:r w:rsidR="002239F3">
        <w:rPr>
          <w:rFonts w:asciiTheme="minorHAnsi" w:hAnsiTheme="minorHAnsi"/>
          <w:sz w:val="22"/>
          <w:szCs w:val="22"/>
        </w:rPr>
        <w:t xml:space="preserve">0% of Area Median Income (AMI) are considered eligible for assistance. Funds are </w:t>
      </w:r>
      <w:r w:rsidR="008B626D" w:rsidRPr="00DC0A72">
        <w:rPr>
          <w:rFonts w:asciiTheme="minorHAnsi" w:hAnsiTheme="minorHAnsi"/>
          <w:sz w:val="22"/>
          <w:szCs w:val="22"/>
        </w:rPr>
        <w:t xml:space="preserve">disbursed according to the NM Affordable Housing Act </w:t>
      </w:r>
      <w:r w:rsidR="002239F3">
        <w:rPr>
          <w:rFonts w:asciiTheme="minorHAnsi" w:hAnsiTheme="minorHAnsi"/>
          <w:sz w:val="22"/>
          <w:szCs w:val="22"/>
        </w:rPr>
        <w:t>and</w:t>
      </w:r>
      <w:r w:rsidR="008B626D" w:rsidRPr="00DC0A72">
        <w:rPr>
          <w:rFonts w:asciiTheme="minorHAnsi" w:hAnsiTheme="minorHAnsi"/>
          <w:sz w:val="22"/>
          <w:szCs w:val="22"/>
        </w:rPr>
        <w:t xml:space="preserve"> used to support down payment assistance, home repair</w:t>
      </w:r>
      <w:r w:rsidRPr="00DC0A72">
        <w:rPr>
          <w:rFonts w:asciiTheme="minorHAnsi" w:hAnsiTheme="minorHAnsi"/>
          <w:sz w:val="22"/>
          <w:szCs w:val="22"/>
        </w:rPr>
        <w:t>,</w:t>
      </w:r>
      <w:r w:rsidR="008B626D" w:rsidRPr="00DC0A72">
        <w:rPr>
          <w:rFonts w:asciiTheme="minorHAnsi" w:hAnsiTheme="minorHAnsi"/>
          <w:sz w:val="22"/>
          <w:szCs w:val="22"/>
        </w:rPr>
        <w:t xml:space="preserve"> rental assistance</w:t>
      </w:r>
      <w:r w:rsidRPr="00DC0A72">
        <w:rPr>
          <w:rFonts w:asciiTheme="minorHAnsi" w:hAnsiTheme="minorHAnsi"/>
          <w:sz w:val="22"/>
          <w:szCs w:val="22"/>
        </w:rPr>
        <w:t>, and other projects related to the preservation, construction or creation of affordable housing</w:t>
      </w:r>
      <w:r w:rsidR="008B626D" w:rsidRPr="00DC0A72">
        <w:rPr>
          <w:rFonts w:asciiTheme="minorHAnsi" w:hAnsiTheme="minorHAnsi"/>
          <w:sz w:val="22"/>
          <w:szCs w:val="22"/>
        </w:rPr>
        <w:t xml:space="preserve">. </w:t>
      </w:r>
    </w:p>
    <w:p w:rsidR="00DC0A72" w:rsidRPr="00DC0A72" w:rsidRDefault="00615675" w:rsidP="00DC0A72">
      <w:pPr>
        <w:pStyle w:val="NormalWeb"/>
        <w:numPr>
          <w:ilvl w:val="0"/>
          <w:numId w:val="36"/>
        </w:numPr>
        <w:spacing w:line="276" w:lineRule="auto"/>
        <w:rPr>
          <w:rFonts w:asciiTheme="minorHAnsi" w:hAnsiTheme="minorHAnsi"/>
          <w:sz w:val="22"/>
          <w:szCs w:val="22"/>
        </w:rPr>
      </w:pPr>
      <w:r w:rsidRPr="00DC0A72">
        <w:rPr>
          <w:rFonts w:asciiTheme="minorHAnsi" w:hAnsiTheme="minorHAnsi"/>
          <w:b/>
          <w:bCs/>
          <w:sz w:val="22"/>
          <w:szCs w:val="22"/>
        </w:rPr>
        <w:t xml:space="preserve">CDBG-Funded </w:t>
      </w:r>
      <w:r w:rsidR="008B626D" w:rsidRPr="00DC0A72">
        <w:rPr>
          <w:rFonts w:asciiTheme="minorHAnsi" w:hAnsiTheme="minorHAnsi"/>
          <w:b/>
          <w:bCs/>
          <w:sz w:val="22"/>
          <w:szCs w:val="22"/>
        </w:rPr>
        <w:t>Down Payment Assistance</w:t>
      </w:r>
      <w:r w:rsidRPr="00DC0A72">
        <w:rPr>
          <w:rFonts w:asciiTheme="minorHAnsi" w:hAnsiTheme="minorHAnsi"/>
          <w:sz w:val="22"/>
          <w:szCs w:val="22"/>
        </w:rPr>
        <w:t xml:space="preserve">. </w:t>
      </w:r>
      <w:r w:rsidR="00DC0A72" w:rsidRPr="00DC0A72">
        <w:rPr>
          <w:rFonts w:asciiTheme="minorHAnsi" w:hAnsiTheme="minorHAnsi"/>
          <w:sz w:val="22"/>
          <w:szCs w:val="22"/>
        </w:rPr>
        <w:t>During the</w:t>
      </w:r>
      <w:r w:rsidR="008B626D" w:rsidRPr="00DC0A72">
        <w:rPr>
          <w:rFonts w:asciiTheme="minorHAnsi" w:hAnsiTheme="minorHAnsi"/>
          <w:sz w:val="22"/>
          <w:szCs w:val="22"/>
        </w:rPr>
        <w:t xml:space="preserve"> 201</w:t>
      </w:r>
      <w:r w:rsidR="00E87A10" w:rsidRPr="00DC0A72">
        <w:rPr>
          <w:rFonts w:asciiTheme="minorHAnsi" w:hAnsiTheme="minorHAnsi"/>
          <w:sz w:val="22"/>
          <w:szCs w:val="22"/>
        </w:rPr>
        <w:t>6</w:t>
      </w:r>
      <w:r w:rsidR="008B626D" w:rsidRPr="00DC0A72">
        <w:rPr>
          <w:rFonts w:asciiTheme="minorHAnsi" w:hAnsiTheme="minorHAnsi"/>
          <w:sz w:val="22"/>
          <w:szCs w:val="22"/>
        </w:rPr>
        <w:t>-201</w:t>
      </w:r>
      <w:r w:rsidR="00E87A10" w:rsidRPr="00DC0A72">
        <w:rPr>
          <w:rFonts w:asciiTheme="minorHAnsi" w:hAnsiTheme="minorHAnsi"/>
          <w:sz w:val="22"/>
          <w:szCs w:val="22"/>
        </w:rPr>
        <w:t>7</w:t>
      </w:r>
      <w:r w:rsidR="00276D16" w:rsidRPr="00DC0A72">
        <w:rPr>
          <w:rFonts w:asciiTheme="minorHAnsi" w:hAnsiTheme="minorHAnsi"/>
          <w:sz w:val="22"/>
          <w:szCs w:val="22"/>
        </w:rPr>
        <w:t xml:space="preserve"> </w:t>
      </w:r>
      <w:r w:rsidR="008B626D" w:rsidRPr="00DC0A72">
        <w:rPr>
          <w:rFonts w:asciiTheme="minorHAnsi" w:hAnsiTheme="minorHAnsi"/>
          <w:sz w:val="22"/>
          <w:szCs w:val="22"/>
        </w:rPr>
        <w:t xml:space="preserve">Program </w:t>
      </w:r>
      <w:r w:rsidR="00DC0A72" w:rsidRPr="00DC0A72">
        <w:rPr>
          <w:rFonts w:asciiTheme="minorHAnsi" w:hAnsiTheme="minorHAnsi"/>
          <w:sz w:val="22"/>
          <w:szCs w:val="22"/>
        </w:rPr>
        <w:t>Year</w:t>
      </w:r>
      <w:r w:rsidR="008B626D" w:rsidRPr="00DC0A72">
        <w:rPr>
          <w:rFonts w:asciiTheme="minorHAnsi" w:hAnsiTheme="minorHAnsi"/>
          <w:sz w:val="22"/>
          <w:szCs w:val="22"/>
        </w:rPr>
        <w:t>, $</w:t>
      </w:r>
      <w:r w:rsidR="00DC0A72" w:rsidRPr="00DC0A72">
        <w:rPr>
          <w:rFonts w:asciiTheme="minorHAnsi" w:hAnsiTheme="minorHAnsi"/>
          <w:sz w:val="22"/>
          <w:szCs w:val="22"/>
        </w:rPr>
        <w:t>132,083</w:t>
      </w:r>
      <w:r w:rsidR="008B626D" w:rsidRPr="00DC0A72">
        <w:rPr>
          <w:rFonts w:asciiTheme="minorHAnsi" w:hAnsiTheme="minorHAnsi"/>
          <w:sz w:val="22"/>
          <w:szCs w:val="22"/>
        </w:rPr>
        <w:t xml:space="preserve"> was spent on t</w:t>
      </w:r>
      <w:r w:rsidRPr="00DC0A72">
        <w:rPr>
          <w:rFonts w:asciiTheme="minorHAnsi" w:hAnsiTheme="minorHAnsi"/>
          <w:sz w:val="22"/>
          <w:szCs w:val="22"/>
        </w:rPr>
        <w:t>wo</w:t>
      </w:r>
      <w:r w:rsidR="008B626D" w:rsidRPr="00DC0A72">
        <w:rPr>
          <w:rFonts w:asciiTheme="minorHAnsi" w:hAnsiTheme="minorHAnsi"/>
          <w:sz w:val="22"/>
          <w:szCs w:val="22"/>
        </w:rPr>
        <w:t xml:space="preserve"> Down Payment Assistance (DPA) programs, with the goal of funding </w:t>
      </w:r>
      <w:r w:rsidR="00DC0A72" w:rsidRPr="00DC0A72">
        <w:rPr>
          <w:rFonts w:asciiTheme="minorHAnsi" w:hAnsiTheme="minorHAnsi"/>
          <w:sz w:val="22"/>
          <w:szCs w:val="22"/>
        </w:rPr>
        <w:t>12</w:t>
      </w:r>
      <w:r w:rsidR="00A44FE2" w:rsidRPr="00DC0A72">
        <w:rPr>
          <w:rFonts w:asciiTheme="minorHAnsi" w:hAnsiTheme="minorHAnsi"/>
          <w:sz w:val="22"/>
          <w:szCs w:val="22"/>
        </w:rPr>
        <w:t xml:space="preserve"> </w:t>
      </w:r>
      <w:r w:rsidR="008B626D" w:rsidRPr="00DC0A72">
        <w:rPr>
          <w:rFonts w:asciiTheme="minorHAnsi" w:hAnsiTheme="minorHAnsi"/>
          <w:sz w:val="22"/>
          <w:szCs w:val="22"/>
        </w:rPr>
        <w:t>loans for mainly first-time home buyers</w:t>
      </w:r>
      <w:r w:rsidR="00A44FE2" w:rsidRPr="00DC0A72">
        <w:rPr>
          <w:rFonts w:asciiTheme="minorHAnsi" w:hAnsiTheme="minorHAnsi"/>
          <w:sz w:val="22"/>
          <w:szCs w:val="22"/>
        </w:rPr>
        <w:t xml:space="preserve">. </w:t>
      </w:r>
      <w:r w:rsidR="008B626D" w:rsidRPr="00DC0A72">
        <w:rPr>
          <w:rFonts w:asciiTheme="minorHAnsi" w:hAnsiTheme="minorHAnsi"/>
          <w:sz w:val="22"/>
          <w:szCs w:val="22"/>
        </w:rPr>
        <w:t xml:space="preserve">Program Income </w:t>
      </w:r>
      <w:r w:rsidR="00DC0A72" w:rsidRPr="00DC0A72">
        <w:rPr>
          <w:rFonts w:asciiTheme="minorHAnsi" w:hAnsiTheme="minorHAnsi"/>
          <w:sz w:val="22"/>
          <w:szCs w:val="22"/>
        </w:rPr>
        <w:t xml:space="preserve">was </w:t>
      </w:r>
      <w:r w:rsidR="008B626D" w:rsidRPr="00DC0A72">
        <w:rPr>
          <w:rFonts w:asciiTheme="minorHAnsi" w:hAnsiTheme="minorHAnsi"/>
          <w:sz w:val="22"/>
          <w:szCs w:val="22"/>
        </w:rPr>
        <w:t>gene</w:t>
      </w:r>
      <w:r w:rsidR="00DC0A72" w:rsidRPr="00DC0A72">
        <w:rPr>
          <w:rFonts w:asciiTheme="minorHAnsi" w:hAnsiTheme="minorHAnsi"/>
          <w:sz w:val="22"/>
          <w:szCs w:val="22"/>
        </w:rPr>
        <w:t>rated from the DPA programs in the amount of</w:t>
      </w:r>
      <w:r w:rsidR="00DC0A72" w:rsidRPr="00DC0A72">
        <w:rPr>
          <w:color w:val="000000"/>
        </w:rPr>
        <w:t xml:space="preserve"> $163,278.74 which</w:t>
      </w:r>
      <w:r w:rsidR="0062324B" w:rsidRPr="00DC0A72">
        <w:rPr>
          <w:rFonts w:asciiTheme="minorHAnsi" w:hAnsiTheme="minorHAnsi"/>
          <w:sz w:val="22"/>
          <w:szCs w:val="22"/>
        </w:rPr>
        <w:t xml:space="preserve"> </w:t>
      </w:r>
      <w:r w:rsidR="008B626D" w:rsidRPr="00DC0A72">
        <w:rPr>
          <w:rFonts w:asciiTheme="minorHAnsi" w:hAnsiTheme="minorHAnsi"/>
          <w:sz w:val="22"/>
          <w:szCs w:val="22"/>
        </w:rPr>
        <w:t>allowed</w:t>
      </w:r>
      <w:r w:rsidR="0062324B" w:rsidRPr="00DC0A72">
        <w:rPr>
          <w:rFonts w:asciiTheme="minorHAnsi" w:hAnsiTheme="minorHAnsi"/>
          <w:sz w:val="22"/>
          <w:szCs w:val="22"/>
        </w:rPr>
        <w:t xml:space="preserve"> for</w:t>
      </w:r>
      <w:r w:rsidR="008B626D" w:rsidRPr="00DC0A72">
        <w:rPr>
          <w:rFonts w:asciiTheme="minorHAnsi" w:hAnsiTheme="minorHAnsi"/>
          <w:sz w:val="22"/>
          <w:szCs w:val="22"/>
        </w:rPr>
        <w:t xml:space="preserve"> </w:t>
      </w:r>
      <w:r w:rsidR="0062324B" w:rsidRPr="00DC0A72">
        <w:rPr>
          <w:rFonts w:asciiTheme="minorHAnsi" w:hAnsiTheme="minorHAnsi"/>
          <w:sz w:val="22"/>
          <w:szCs w:val="22"/>
        </w:rPr>
        <w:t xml:space="preserve">a total of </w:t>
      </w:r>
      <w:r w:rsidR="00DC0A72" w:rsidRPr="00DC0A72">
        <w:rPr>
          <w:rFonts w:asciiTheme="minorHAnsi" w:hAnsiTheme="minorHAnsi"/>
          <w:sz w:val="22"/>
          <w:szCs w:val="22"/>
        </w:rPr>
        <w:t>31</w:t>
      </w:r>
      <w:r w:rsidR="007248D7" w:rsidRPr="00DC0A72">
        <w:rPr>
          <w:rFonts w:asciiTheme="minorHAnsi" w:hAnsiTheme="minorHAnsi"/>
          <w:sz w:val="22"/>
          <w:szCs w:val="22"/>
        </w:rPr>
        <w:t xml:space="preserve"> </w:t>
      </w:r>
      <w:r w:rsidR="00FB1D5C" w:rsidRPr="00DC0A72">
        <w:rPr>
          <w:rFonts w:asciiTheme="minorHAnsi" w:hAnsiTheme="minorHAnsi"/>
          <w:sz w:val="22"/>
          <w:szCs w:val="22"/>
        </w:rPr>
        <w:t>homebuyer loans</w:t>
      </w:r>
      <w:r w:rsidR="00A44FE2" w:rsidRPr="00DC0A72">
        <w:rPr>
          <w:rFonts w:asciiTheme="minorHAnsi" w:hAnsiTheme="minorHAnsi"/>
          <w:sz w:val="22"/>
          <w:szCs w:val="22"/>
        </w:rPr>
        <w:t xml:space="preserve"> </w:t>
      </w:r>
      <w:r w:rsidR="00DC0A72" w:rsidRPr="00DC0A72">
        <w:rPr>
          <w:rFonts w:asciiTheme="minorHAnsi" w:hAnsiTheme="minorHAnsi"/>
        </w:rPr>
        <w:t xml:space="preserve">to be funded </w:t>
      </w:r>
      <w:r w:rsidR="00A44FE2" w:rsidRPr="00DC0A72">
        <w:rPr>
          <w:rFonts w:asciiTheme="minorHAnsi" w:hAnsiTheme="minorHAnsi"/>
          <w:sz w:val="22"/>
          <w:szCs w:val="22"/>
        </w:rPr>
        <w:t>from this program</w:t>
      </w:r>
      <w:r w:rsidR="007248D7" w:rsidRPr="00DC0A72">
        <w:rPr>
          <w:rFonts w:asciiTheme="minorHAnsi" w:hAnsiTheme="minorHAnsi"/>
          <w:sz w:val="22"/>
          <w:szCs w:val="22"/>
        </w:rPr>
        <w:t>.</w:t>
      </w:r>
    </w:p>
    <w:p w:rsidR="002239F3" w:rsidRDefault="00A44FE2" w:rsidP="00CF2C5C">
      <w:pPr>
        <w:pStyle w:val="NormalWeb"/>
        <w:numPr>
          <w:ilvl w:val="0"/>
          <w:numId w:val="36"/>
        </w:numPr>
        <w:spacing w:line="276" w:lineRule="auto"/>
        <w:rPr>
          <w:rFonts w:asciiTheme="minorHAnsi" w:hAnsiTheme="minorHAnsi"/>
          <w:sz w:val="22"/>
          <w:szCs w:val="22"/>
        </w:rPr>
      </w:pPr>
      <w:r w:rsidRPr="002239F3">
        <w:rPr>
          <w:rFonts w:asciiTheme="minorHAnsi" w:hAnsiTheme="minorHAnsi"/>
          <w:b/>
          <w:sz w:val="22"/>
          <w:szCs w:val="22"/>
        </w:rPr>
        <w:t>Affordable Housing Trust Fund (AHTF)</w:t>
      </w:r>
      <w:r w:rsidR="00DC0A72" w:rsidRPr="002239F3">
        <w:rPr>
          <w:rFonts w:asciiTheme="minorHAnsi" w:hAnsiTheme="minorHAnsi"/>
          <w:b/>
          <w:sz w:val="22"/>
          <w:szCs w:val="22"/>
        </w:rPr>
        <w:t>-Funded DPA</w:t>
      </w:r>
      <w:r w:rsidRPr="002239F3">
        <w:rPr>
          <w:rFonts w:asciiTheme="minorHAnsi" w:hAnsiTheme="minorHAnsi"/>
          <w:b/>
          <w:sz w:val="22"/>
          <w:szCs w:val="22"/>
        </w:rPr>
        <w:t>:</w:t>
      </w:r>
      <w:r w:rsidRPr="002239F3">
        <w:rPr>
          <w:rFonts w:asciiTheme="minorHAnsi" w:hAnsiTheme="minorHAnsi"/>
          <w:sz w:val="22"/>
          <w:szCs w:val="22"/>
        </w:rPr>
        <w:t xml:space="preserve">  </w:t>
      </w:r>
      <w:r w:rsidR="00DC0A72" w:rsidRPr="002239F3">
        <w:rPr>
          <w:rFonts w:asciiTheme="minorHAnsi" w:hAnsiTheme="minorHAnsi"/>
          <w:sz w:val="22"/>
          <w:szCs w:val="22"/>
        </w:rPr>
        <w:t>Funds were not made available from the AHTF during the program year due to a lack of revenue into the account. However, the AHTF is a proven source of support for DPA.</w:t>
      </w:r>
      <w:r w:rsidRPr="002239F3">
        <w:rPr>
          <w:rFonts w:asciiTheme="minorHAnsi" w:hAnsiTheme="minorHAnsi"/>
          <w:sz w:val="22"/>
          <w:szCs w:val="22"/>
        </w:rPr>
        <w:t xml:space="preserve"> </w:t>
      </w:r>
      <w:r w:rsidR="00DA293A" w:rsidRPr="002239F3">
        <w:rPr>
          <w:rFonts w:asciiTheme="minorHAnsi" w:hAnsiTheme="minorHAnsi"/>
          <w:sz w:val="22"/>
          <w:szCs w:val="22"/>
        </w:rPr>
        <w:t>I</w:t>
      </w:r>
      <w:r w:rsidRPr="002239F3">
        <w:rPr>
          <w:rFonts w:asciiTheme="minorHAnsi" w:hAnsiTheme="minorHAnsi"/>
          <w:sz w:val="22"/>
          <w:szCs w:val="22"/>
        </w:rPr>
        <w:t>n 2015 t</w:t>
      </w:r>
      <w:r w:rsidR="008B626D" w:rsidRPr="002239F3">
        <w:rPr>
          <w:rFonts w:asciiTheme="minorHAnsi" w:hAnsiTheme="minorHAnsi"/>
          <w:sz w:val="22"/>
          <w:szCs w:val="22"/>
        </w:rPr>
        <w:t xml:space="preserve">his program offered down payment assistance (DPA) loans through </w:t>
      </w:r>
      <w:r w:rsidR="007248D7" w:rsidRPr="002239F3">
        <w:rPr>
          <w:rFonts w:asciiTheme="minorHAnsi" w:hAnsiTheme="minorHAnsi"/>
          <w:sz w:val="22"/>
          <w:szCs w:val="22"/>
        </w:rPr>
        <w:t xml:space="preserve">three </w:t>
      </w:r>
      <w:r w:rsidR="008B626D" w:rsidRPr="002239F3">
        <w:rPr>
          <w:rFonts w:asciiTheme="minorHAnsi" w:hAnsiTheme="minorHAnsi"/>
          <w:sz w:val="22"/>
          <w:szCs w:val="22"/>
        </w:rPr>
        <w:t>non-profit organizations: </w:t>
      </w:r>
      <w:r w:rsidR="007248D7" w:rsidRPr="002239F3">
        <w:rPr>
          <w:rFonts w:asciiTheme="minorHAnsi" w:hAnsiTheme="minorHAnsi"/>
          <w:sz w:val="22"/>
          <w:szCs w:val="22"/>
        </w:rPr>
        <w:t xml:space="preserve"> Habitat for Humanity,</w:t>
      </w:r>
      <w:r w:rsidR="008B626D" w:rsidRPr="002239F3">
        <w:rPr>
          <w:rFonts w:asciiTheme="minorHAnsi" w:hAnsiTheme="minorHAnsi"/>
          <w:sz w:val="22"/>
          <w:szCs w:val="22"/>
        </w:rPr>
        <w:t xml:space="preserve"> Homewise and The Housing Trust</w:t>
      </w:r>
      <w:r w:rsidRPr="002239F3">
        <w:rPr>
          <w:rFonts w:asciiTheme="minorHAnsi" w:hAnsiTheme="minorHAnsi"/>
          <w:sz w:val="22"/>
          <w:szCs w:val="22"/>
        </w:rPr>
        <w:t xml:space="preserve">.  </w:t>
      </w:r>
      <w:r w:rsidR="008B626D" w:rsidRPr="002239F3">
        <w:rPr>
          <w:rFonts w:asciiTheme="minorHAnsi" w:hAnsiTheme="minorHAnsi"/>
          <w:sz w:val="22"/>
          <w:szCs w:val="22"/>
        </w:rPr>
        <w:t xml:space="preserve">These loans reduced the price of the home loan and a lien </w:t>
      </w:r>
      <w:r w:rsidR="00270895" w:rsidRPr="002239F3">
        <w:rPr>
          <w:rFonts w:asciiTheme="minorHAnsi" w:hAnsiTheme="minorHAnsi"/>
          <w:sz w:val="22"/>
          <w:szCs w:val="22"/>
        </w:rPr>
        <w:t>is</w:t>
      </w:r>
      <w:r w:rsidR="008B626D" w:rsidRPr="002239F3">
        <w:rPr>
          <w:rFonts w:asciiTheme="minorHAnsi" w:hAnsiTheme="minorHAnsi"/>
          <w:sz w:val="22"/>
          <w:szCs w:val="22"/>
        </w:rPr>
        <w:t xml:space="preserve"> placed on the property in the City’s name so that the funds will be repaid to the City</w:t>
      </w:r>
      <w:r w:rsidR="00270895" w:rsidRPr="002239F3">
        <w:rPr>
          <w:rFonts w:asciiTheme="minorHAnsi" w:hAnsiTheme="minorHAnsi"/>
          <w:sz w:val="22"/>
          <w:szCs w:val="22"/>
        </w:rPr>
        <w:t xml:space="preserve"> once a home is sold</w:t>
      </w:r>
      <w:r w:rsidR="008B626D" w:rsidRPr="002239F3">
        <w:rPr>
          <w:rFonts w:asciiTheme="minorHAnsi" w:hAnsiTheme="minorHAnsi"/>
          <w:sz w:val="22"/>
          <w:szCs w:val="22"/>
        </w:rPr>
        <w:t xml:space="preserve"> and then reallocated, allowing the City to retain the fu</w:t>
      </w:r>
      <w:r w:rsidR="002239F3">
        <w:rPr>
          <w:rFonts w:asciiTheme="minorHAnsi" w:hAnsiTheme="minorHAnsi"/>
          <w:sz w:val="22"/>
          <w:szCs w:val="22"/>
        </w:rPr>
        <w:t xml:space="preserve">nds. </w:t>
      </w:r>
    </w:p>
    <w:p w:rsidR="002239F3" w:rsidRDefault="002239F3" w:rsidP="00CF2C5C">
      <w:pPr>
        <w:pStyle w:val="NormalWeb"/>
        <w:numPr>
          <w:ilvl w:val="0"/>
          <w:numId w:val="36"/>
        </w:numPr>
        <w:spacing w:line="276" w:lineRule="auto"/>
        <w:rPr>
          <w:rFonts w:asciiTheme="minorHAnsi" w:hAnsiTheme="minorHAnsi"/>
          <w:sz w:val="22"/>
          <w:szCs w:val="22"/>
        </w:rPr>
      </w:pPr>
      <w:r>
        <w:rPr>
          <w:rFonts w:asciiTheme="minorHAnsi" w:hAnsiTheme="minorHAnsi"/>
          <w:b/>
          <w:bCs/>
          <w:sz w:val="22"/>
          <w:szCs w:val="22"/>
        </w:rPr>
        <w:t xml:space="preserve">HUD-funded </w:t>
      </w:r>
      <w:r w:rsidR="008B626D" w:rsidRPr="002239F3">
        <w:rPr>
          <w:rFonts w:asciiTheme="minorHAnsi" w:hAnsiTheme="minorHAnsi"/>
          <w:b/>
          <w:bCs/>
          <w:sz w:val="22"/>
          <w:szCs w:val="22"/>
        </w:rPr>
        <w:t>Rental</w:t>
      </w:r>
      <w:r w:rsidR="00BE6CE3" w:rsidRPr="002239F3">
        <w:rPr>
          <w:rFonts w:asciiTheme="minorHAnsi" w:hAnsiTheme="minorHAnsi"/>
          <w:b/>
          <w:bCs/>
          <w:sz w:val="22"/>
          <w:szCs w:val="22"/>
        </w:rPr>
        <w:t xml:space="preserve"> Assistance</w:t>
      </w:r>
      <w:r w:rsidR="00CF2C5C" w:rsidRPr="002239F3">
        <w:rPr>
          <w:rFonts w:asciiTheme="minorHAnsi" w:hAnsiTheme="minorHAnsi"/>
          <w:sz w:val="22"/>
          <w:szCs w:val="22"/>
        </w:rPr>
        <w:t xml:space="preserve">. </w:t>
      </w:r>
      <w:r>
        <w:rPr>
          <w:rFonts w:asciiTheme="minorHAnsi" w:hAnsiTheme="minorHAnsi"/>
          <w:sz w:val="22"/>
          <w:szCs w:val="22"/>
        </w:rPr>
        <w:t xml:space="preserve">For multiple years, the City of Santa Fe has been a HUD grantee for homeless assistance funds through the Shelter Plus Care/Continuum of Care program. The City contracted with local housing providers who administered the rental assistance directly to very-low income renters and those with disabilities. At one time, the City received over $1.2 million from HUD which was disbursed to three subrecipients: Housing Trust, Life Link and St Elizabeth Shelter. When HUD modified the regulation to allow current nonprofit subrecipients to become the direct grantee, the City turned over six of its eight grants (five to Life Link and one to the Housing Trust). Once the current multi-year grants are in the Continuum of Care renewal cycle, the remaining two grants will also be turned over. </w:t>
      </w:r>
    </w:p>
    <w:p w:rsidR="004F5187" w:rsidRDefault="002239F3" w:rsidP="002239F3">
      <w:pPr>
        <w:pStyle w:val="NormalWeb"/>
        <w:numPr>
          <w:ilvl w:val="0"/>
          <w:numId w:val="36"/>
        </w:numPr>
        <w:spacing w:line="276" w:lineRule="auto"/>
        <w:rPr>
          <w:rFonts w:asciiTheme="minorHAnsi" w:hAnsiTheme="minorHAnsi"/>
          <w:sz w:val="22"/>
          <w:szCs w:val="22"/>
        </w:rPr>
      </w:pPr>
      <w:r>
        <w:rPr>
          <w:rFonts w:asciiTheme="minorHAnsi" w:hAnsiTheme="minorHAnsi"/>
          <w:b/>
          <w:sz w:val="22"/>
          <w:szCs w:val="22"/>
        </w:rPr>
        <w:t xml:space="preserve">Rental Assistance from Local Funds. </w:t>
      </w:r>
      <w:r w:rsidR="00A44FE2" w:rsidRPr="002239F3">
        <w:rPr>
          <w:rFonts w:asciiTheme="minorHAnsi" w:hAnsiTheme="minorHAnsi"/>
          <w:sz w:val="22"/>
          <w:szCs w:val="22"/>
        </w:rPr>
        <w:t xml:space="preserve">In the 2014-2015 Program Year, </w:t>
      </w:r>
      <w:r w:rsidR="009F2596" w:rsidRPr="002239F3">
        <w:rPr>
          <w:rFonts w:asciiTheme="minorHAnsi" w:hAnsiTheme="minorHAnsi"/>
          <w:sz w:val="22"/>
          <w:szCs w:val="22"/>
        </w:rPr>
        <w:t xml:space="preserve">$150,000 </w:t>
      </w:r>
      <w:r w:rsidR="006E50E0" w:rsidRPr="002239F3">
        <w:rPr>
          <w:rFonts w:asciiTheme="minorHAnsi" w:hAnsiTheme="minorHAnsi"/>
          <w:sz w:val="22"/>
          <w:szCs w:val="22"/>
        </w:rPr>
        <w:t xml:space="preserve">of the AHTF </w:t>
      </w:r>
      <w:r w:rsidR="009F2596" w:rsidRPr="002239F3">
        <w:rPr>
          <w:rFonts w:asciiTheme="minorHAnsi" w:hAnsiTheme="minorHAnsi"/>
          <w:sz w:val="22"/>
          <w:szCs w:val="22"/>
        </w:rPr>
        <w:t xml:space="preserve">was spent on rental assistance which served </w:t>
      </w:r>
      <w:r w:rsidR="0000412A" w:rsidRPr="002239F3">
        <w:rPr>
          <w:rFonts w:asciiTheme="minorHAnsi" w:hAnsiTheme="minorHAnsi"/>
          <w:sz w:val="22"/>
          <w:szCs w:val="22"/>
        </w:rPr>
        <w:t>49</w:t>
      </w:r>
      <w:r w:rsidR="009F2596" w:rsidRPr="002239F3">
        <w:rPr>
          <w:rFonts w:asciiTheme="minorHAnsi" w:hAnsiTheme="minorHAnsi"/>
          <w:sz w:val="22"/>
          <w:szCs w:val="22"/>
        </w:rPr>
        <w:t xml:space="preserve"> households or </w:t>
      </w:r>
      <w:r w:rsidR="00270895" w:rsidRPr="002239F3">
        <w:rPr>
          <w:rFonts w:asciiTheme="minorHAnsi" w:hAnsiTheme="minorHAnsi"/>
          <w:sz w:val="22"/>
          <w:szCs w:val="22"/>
        </w:rPr>
        <w:t>114</w:t>
      </w:r>
      <w:r w:rsidR="009F2596" w:rsidRPr="002239F3">
        <w:rPr>
          <w:rFonts w:asciiTheme="minorHAnsi" w:hAnsiTheme="minorHAnsi"/>
          <w:sz w:val="22"/>
          <w:szCs w:val="22"/>
        </w:rPr>
        <w:t xml:space="preserve"> individuals </w:t>
      </w:r>
      <w:r w:rsidR="006E50E0" w:rsidRPr="002239F3">
        <w:rPr>
          <w:rFonts w:asciiTheme="minorHAnsi" w:hAnsiTheme="minorHAnsi"/>
          <w:sz w:val="22"/>
          <w:szCs w:val="22"/>
        </w:rPr>
        <w:t xml:space="preserve">For FY 2015-2016, $60,000 of unused general funds from FY 2014-2015 were </w:t>
      </w:r>
      <w:r>
        <w:rPr>
          <w:rFonts w:asciiTheme="minorHAnsi" w:hAnsiTheme="minorHAnsi"/>
          <w:sz w:val="22"/>
          <w:szCs w:val="22"/>
        </w:rPr>
        <w:t>added to the</w:t>
      </w:r>
      <w:r w:rsidR="006E50E0" w:rsidRPr="002239F3">
        <w:rPr>
          <w:rFonts w:asciiTheme="minorHAnsi" w:hAnsiTheme="minorHAnsi"/>
          <w:sz w:val="22"/>
          <w:szCs w:val="22"/>
        </w:rPr>
        <w:t xml:space="preserve"> program to ensure that vulnerable renters did not lose their housing; however, </w:t>
      </w:r>
      <w:r>
        <w:rPr>
          <w:rFonts w:asciiTheme="minorHAnsi" w:hAnsiTheme="minorHAnsi"/>
          <w:sz w:val="22"/>
          <w:szCs w:val="22"/>
        </w:rPr>
        <w:t xml:space="preserve">since then the City cut its </w:t>
      </w:r>
      <w:r w:rsidR="006E50E0" w:rsidRPr="002239F3">
        <w:rPr>
          <w:rFonts w:asciiTheme="minorHAnsi" w:hAnsiTheme="minorHAnsi"/>
          <w:sz w:val="22"/>
          <w:szCs w:val="22"/>
        </w:rPr>
        <w:t xml:space="preserve">general fund budget </w:t>
      </w:r>
      <w:r>
        <w:rPr>
          <w:rFonts w:asciiTheme="minorHAnsi" w:hAnsiTheme="minorHAnsi"/>
          <w:sz w:val="22"/>
          <w:szCs w:val="22"/>
        </w:rPr>
        <w:t>for affordable housing by 25%</w:t>
      </w:r>
      <w:r w:rsidR="006E50E0" w:rsidRPr="002239F3">
        <w:rPr>
          <w:rFonts w:asciiTheme="minorHAnsi" w:hAnsiTheme="minorHAnsi"/>
          <w:sz w:val="22"/>
          <w:szCs w:val="22"/>
        </w:rPr>
        <w:t xml:space="preserve">.  </w:t>
      </w:r>
      <w:r w:rsidR="00A44FE2" w:rsidRPr="002239F3">
        <w:rPr>
          <w:rFonts w:asciiTheme="minorHAnsi" w:hAnsiTheme="minorHAnsi"/>
          <w:sz w:val="22"/>
          <w:szCs w:val="22"/>
        </w:rPr>
        <w:t>The Office of Affordable housing is working to re-establish this vital funding source</w:t>
      </w:r>
      <w:r w:rsidR="00E87A10" w:rsidRPr="002239F3">
        <w:rPr>
          <w:rFonts w:asciiTheme="minorHAnsi" w:hAnsiTheme="minorHAnsi"/>
          <w:sz w:val="22"/>
          <w:szCs w:val="22"/>
        </w:rPr>
        <w:t>. For the 2016-17 budget year, the City’s Finance Department is hoping to allocate $100,000 from an anticipated budget surplus; however, at this time the funds have not yet been secured.</w:t>
      </w:r>
    </w:p>
    <w:p w:rsidR="004F5187" w:rsidRDefault="002239F3" w:rsidP="004F5187">
      <w:pPr>
        <w:pStyle w:val="NormalWeb"/>
        <w:numPr>
          <w:ilvl w:val="0"/>
          <w:numId w:val="36"/>
        </w:numPr>
        <w:spacing w:line="276" w:lineRule="auto"/>
        <w:rPr>
          <w:rFonts w:asciiTheme="minorHAnsi" w:hAnsiTheme="minorHAnsi"/>
          <w:sz w:val="22"/>
          <w:szCs w:val="22"/>
        </w:rPr>
      </w:pPr>
      <w:r w:rsidRPr="004F5187">
        <w:rPr>
          <w:rFonts w:asciiTheme="minorHAnsi" w:hAnsiTheme="minorHAnsi"/>
          <w:b/>
          <w:sz w:val="22"/>
          <w:szCs w:val="22"/>
        </w:rPr>
        <w:t>CDBG</w:t>
      </w:r>
      <w:r w:rsidRPr="004F5187">
        <w:rPr>
          <w:rFonts w:asciiTheme="minorHAnsi" w:hAnsiTheme="minorHAnsi"/>
          <w:b/>
          <w:bCs/>
          <w:sz w:val="22"/>
          <w:szCs w:val="22"/>
        </w:rPr>
        <w:t xml:space="preserve">-funded </w:t>
      </w:r>
      <w:r w:rsidR="008B626D" w:rsidRPr="004F5187">
        <w:rPr>
          <w:rFonts w:asciiTheme="minorHAnsi" w:hAnsiTheme="minorHAnsi"/>
          <w:b/>
          <w:bCs/>
          <w:sz w:val="22"/>
          <w:szCs w:val="22"/>
        </w:rPr>
        <w:t>Homeowner Housing</w:t>
      </w:r>
      <w:r w:rsidRPr="004F5187">
        <w:rPr>
          <w:rFonts w:asciiTheme="minorHAnsi" w:hAnsiTheme="minorHAnsi"/>
          <w:b/>
          <w:bCs/>
          <w:sz w:val="22"/>
          <w:szCs w:val="22"/>
        </w:rPr>
        <w:t xml:space="preserve"> Rehabilitation.</w:t>
      </w:r>
      <w:r w:rsidR="001B31E1" w:rsidRPr="004F5187">
        <w:rPr>
          <w:rFonts w:asciiTheme="minorHAnsi" w:hAnsiTheme="minorHAnsi"/>
          <w:sz w:val="22"/>
          <w:szCs w:val="22"/>
        </w:rPr>
        <w:t xml:space="preserve"> </w:t>
      </w:r>
      <w:r w:rsidR="008B626D" w:rsidRPr="004F5187">
        <w:rPr>
          <w:rFonts w:asciiTheme="minorHAnsi" w:hAnsiTheme="minorHAnsi"/>
          <w:sz w:val="22"/>
          <w:szCs w:val="22"/>
        </w:rPr>
        <w:t>$</w:t>
      </w:r>
      <w:r w:rsidRPr="004F5187">
        <w:rPr>
          <w:rFonts w:asciiTheme="minorHAnsi" w:hAnsiTheme="minorHAnsi"/>
          <w:sz w:val="22"/>
          <w:szCs w:val="22"/>
        </w:rPr>
        <w:t>6</w:t>
      </w:r>
      <w:r w:rsidR="008B626D" w:rsidRPr="004F5187">
        <w:rPr>
          <w:rFonts w:asciiTheme="minorHAnsi" w:hAnsiTheme="minorHAnsi"/>
          <w:sz w:val="22"/>
          <w:szCs w:val="22"/>
        </w:rPr>
        <w:t>0,000</w:t>
      </w:r>
      <w:r w:rsidR="006A35F7" w:rsidRPr="004F5187">
        <w:rPr>
          <w:rFonts w:asciiTheme="minorHAnsi" w:hAnsiTheme="minorHAnsi"/>
          <w:sz w:val="22"/>
          <w:szCs w:val="22"/>
        </w:rPr>
        <w:t xml:space="preserve"> </w:t>
      </w:r>
      <w:r w:rsidR="0046509D" w:rsidRPr="004F5187">
        <w:rPr>
          <w:rFonts w:asciiTheme="minorHAnsi" w:hAnsiTheme="minorHAnsi"/>
          <w:sz w:val="22"/>
          <w:szCs w:val="22"/>
        </w:rPr>
        <w:t xml:space="preserve">of </w:t>
      </w:r>
      <w:r w:rsidRPr="004F5187">
        <w:rPr>
          <w:rFonts w:asciiTheme="minorHAnsi" w:hAnsiTheme="minorHAnsi"/>
          <w:sz w:val="22"/>
          <w:szCs w:val="22"/>
        </w:rPr>
        <w:t xml:space="preserve">CDBG </w:t>
      </w:r>
      <w:r w:rsidR="0046509D" w:rsidRPr="004F5187">
        <w:rPr>
          <w:rFonts w:asciiTheme="minorHAnsi" w:hAnsiTheme="minorHAnsi"/>
          <w:sz w:val="22"/>
          <w:szCs w:val="22"/>
        </w:rPr>
        <w:t>funds w</w:t>
      </w:r>
      <w:r w:rsidR="001B31E1" w:rsidRPr="004F5187">
        <w:rPr>
          <w:rFonts w:asciiTheme="minorHAnsi" w:hAnsiTheme="minorHAnsi"/>
          <w:sz w:val="22"/>
          <w:szCs w:val="22"/>
        </w:rPr>
        <w:t xml:space="preserve">as </w:t>
      </w:r>
      <w:r w:rsidR="008B626D" w:rsidRPr="004F5187">
        <w:rPr>
          <w:rFonts w:asciiTheme="minorHAnsi" w:hAnsiTheme="minorHAnsi"/>
          <w:sz w:val="22"/>
          <w:szCs w:val="22"/>
        </w:rPr>
        <w:t xml:space="preserve">granted </w:t>
      </w:r>
      <w:r w:rsidR="001B31E1" w:rsidRPr="004F5187">
        <w:rPr>
          <w:rFonts w:asciiTheme="minorHAnsi" w:hAnsiTheme="minorHAnsi"/>
          <w:sz w:val="22"/>
          <w:szCs w:val="22"/>
        </w:rPr>
        <w:t xml:space="preserve">to Habitat for Humanity </w:t>
      </w:r>
      <w:r w:rsidR="008B626D" w:rsidRPr="004F5187">
        <w:rPr>
          <w:rFonts w:asciiTheme="minorHAnsi" w:hAnsiTheme="minorHAnsi"/>
          <w:sz w:val="22"/>
          <w:szCs w:val="22"/>
        </w:rPr>
        <w:t xml:space="preserve">for rehabilitation of </w:t>
      </w:r>
      <w:r w:rsidRPr="004F5187">
        <w:rPr>
          <w:rFonts w:asciiTheme="minorHAnsi" w:hAnsiTheme="minorHAnsi"/>
          <w:sz w:val="22"/>
          <w:szCs w:val="22"/>
        </w:rPr>
        <w:t>eight (8)</w:t>
      </w:r>
      <w:r w:rsidR="008B626D" w:rsidRPr="004F5187">
        <w:rPr>
          <w:rFonts w:asciiTheme="minorHAnsi" w:hAnsiTheme="minorHAnsi"/>
          <w:sz w:val="22"/>
          <w:szCs w:val="22"/>
        </w:rPr>
        <w:t xml:space="preserve"> single-family residences</w:t>
      </w:r>
      <w:r w:rsidR="007368B2" w:rsidRPr="004F5187">
        <w:rPr>
          <w:rFonts w:asciiTheme="minorHAnsi" w:hAnsiTheme="minorHAnsi"/>
          <w:sz w:val="22"/>
          <w:szCs w:val="22"/>
        </w:rPr>
        <w:t xml:space="preserve"> targeted towards homeowners earning below </w:t>
      </w:r>
      <w:r w:rsidR="001B31E1" w:rsidRPr="004F5187">
        <w:rPr>
          <w:rFonts w:asciiTheme="minorHAnsi" w:hAnsiTheme="minorHAnsi"/>
          <w:sz w:val="22"/>
          <w:szCs w:val="22"/>
        </w:rPr>
        <w:t>6</w:t>
      </w:r>
      <w:r w:rsidR="00270895" w:rsidRPr="004F5187">
        <w:rPr>
          <w:rFonts w:asciiTheme="minorHAnsi" w:hAnsiTheme="minorHAnsi"/>
          <w:sz w:val="22"/>
          <w:szCs w:val="22"/>
        </w:rPr>
        <w:t>0</w:t>
      </w:r>
      <w:r w:rsidR="007368B2" w:rsidRPr="004F5187">
        <w:rPr>
          <w:rFonts w:asciiTheme="minorHAnsi" w:hAnsiTheme="minorHAnsi"/>
          <w:sz w:val="22"/>
          <w:szCs w:val="22"/>
        </w:rPr>
        <w:t xml:space="preserve">% of the </w:t>
      </w:r>
      <w:r w:rsidR="00BE6CE3" w:rsidRPr="004F5187">
        <w:rPr>
          <w:rFonts w:asciiTheme="minorHAnsi" w:hAnsiTheme="minorHAnsi"/>
          <w:sz w:val="22"/>
          <w:szCs w:val="22"/>
        </w:rPr>
        <w:t>AMI</w:t>
      </w:r>
      <w:r w:rsidRPr="004F5187">
        <w:rPr>
          <w:rFonts w:asciiTheme="minorHAnsi" w:hAnsiTheme="minorHAnsi"/>
          <w:sz w:val="22"/>
          <w:szCs w:val="22"/>
        </w:rPr>
        <w:t>. Through the year, however,</w:t>
      </w:r>
      <w:r w:rsidR="006A35F7" w:rsidRPr="004F5187">
        <w:rPr>
          <w:rFonts w:asciiTheme="minorHAnsi" w:hAnsiTheme="minorHAnsi"/>
          <w:sz w:val="22"/>
          <w:szCs w:val="22"/>
        </w:rPr>
        <w:t xml:space="preserve"> Habitat </w:t>
      </w:r>
      <w:r w:rsidRPr="004F5187">
        <w:rPr>
          <w:rFonts w:asciiTheme="minorHAnsi" w:hAnsiTheme="minorHAnsi"/>
          <w:sz w:val="22"/>
          <w:szCs w:val="22"/>
        </w:rPr>
        <w:t>used fun</w:t>
      </w:r>
      <w:r w:rsidR="004F5187" w:rsidRPr="004F5187">
        <w:rPr>
          <w:rFonts w:asciiTheme="minorHAnsi" w:hAnsiTheme="minorHAnsi"/>
          <w:sz w:val="22"/>
          <w:szCs w:val="22"/>
        </w:rPr>
        <w:t>ds to provide emergency repairs</w:t>
      </w:r>
      <w:r w:rsidRPr="004F5187">
        <w:rPr>
          <w:rFonts w:asciiTheme="minorHAnsi" w:hAnsiTheme="minorHAnsi"/>
          <w:sz w:val="22"/>
          <w:szCs w:val="22"/>
        </w:rPr>
        <w:t xml:space="preserve"> for very low income homeowners, </w:t>
      </w:r>
      <w:r w:rsidR="001B31E1" w:rsidRPr="004F5187">
        <w:rPr>
          <w:rFonts w:asciiTheme="minorHAnsi" w:hAnsiTheme="minorHAnsi"/>
          <w:sz w:val="22"/>
          <w:szCs w:val="22"/>
        </w:rPr>
        <w:t xml:space="preserve">primarily elderly, </w:t>
      </w:r>
      <w:r w:rsidR="004F5187" w:rsidRPr="004F5187">
        <w:rPr>
          <w:rFonts w:asciiTheme="minorHAnsi" w:hAnsiTheme="minorHAnsi"/>
          <w:sz w:val="22"/>
          <w:szCs w:val="22"/>
        </w:rPr>
        <w:t>single female-headed households and assisted 16 homeowners through the program.</w:t>
      </w:r>
      <w:r w:rsidR="008B626D" w:rsidRPr="004F5187">
        <w:rPr>
          <w:rFonts w:asciiTheme="minorHAnsi" w:hAnsiTheme="minorHAnsi"/>
          <w:sz w:val="22"/>
          <w:szCs w:val="22"/>
        </w:rPr>
        <w:t xml:space="preserve"> </w:t>
      </w:r>
      <w:r w:rsidR="0046509D" w:rsidRPr="004F5187">
        <w:rPr>
          <w:rFonts w:asciiTheme="minorHAnsi" w:hAnsiTheme="minorHAnsi"/>
          <w:sz w:val="22"/>
          <w:szCs w:val="22"/>
        </w:rPr>
        <w:t>The Homewise H</w:t>
      </w:r>
      <w:r w:rsidR="001B31E1" w:rsidRPr="004F5187">
        <w:rPr>
          <w:rFonts w:asciiTheme="minorHAnsi" w:hAnsiTheme="minorHAnsi"/>
          <w:sz w:val="22"/>
          <w:szCs w:val="22"/>
        </w:rPr>
        <w:t>om</w:t>
      </w:r>
      <w:r w:rsidR="00E87A10" w:rsidRPr="004F5187">
        <w:rPr>
          <w:rFonts w:asciiTheme="minorHAnsi" w:hAnsiTheme="minorHAnsi"/>
          <w:sz w:val="22"/>
          <w:szCs w:val="22"/>
        </w:rPr>
        <w:t xml:space="preserve">e Improvement Program </w:t>
      </w:r>
      <w:r w:rsidR="0046509D" w:rsidRPr="004F5187">
        <w:rPr>
          <w:rFonts w:asciiTheme="minorHAnsi" w:hAnsiTheme="minorHAnsi"/>
          <w:sz w:val="22"/>
          <w:szCs w:val="22"/>
        </w:rPr>
        <w:t>generated</w:t>
      </w:r>
      <w:r w:rsidR="00D57B2A" w:rsidRPr="004F5187">
        <w:rPr>
          <w:rFonts w:asciiTheme="minorHAnsi" w:hAnsiTheme="minorHAnsi"/>
          <w:sz w:val="22"/>
          <w:szCs w:val="22"/>
        </w:rPr>
        <w:t xml:space="preserve"> </w:t>
      </w:r>
      <w:r w:rsidR="004F5187" w:rsidRPr="004F5187">
        <w:rPr>
          <w:rFonts w:asciiTheme="minorHAnsi" w:hAnsiTheme="minorHAnsi"/>
          <w:sz w:val="22"/>
          <w:szCs w:val="22"/>
        </w:rPr>
        <w:t xml:space="preserve">close to $85,000 </w:t>
      </w:r>
      <w:r w:rsidR="00D57B2A" w:rsidRPr="004F5187">
        <w:rPr>
          <w:rFonts w:asciiTheme="minorHAnsi" w:hAnsiTheme="minorHAnsi"/>
          <w:sz w:val="22"/>
          <w:szCs w:val="22"/>
        </w:rPr>
        <w:t xml:space="preserve">in </w:t>
      </w:r>
      <w:r w:rsidR="0046509D" w:rsidRPr="004F5187">
        <w:rPr>
          <w:rFonts w:asciiTheme="minorHAnsi" w:hAnsiTheme="minorHAnsi"/>
          <w:sz w:val="22"/>
          <w:szCs w:val="22"/>
        </w:rPr>
        <w:t>program income</w:t>
      </w:r>
      <w:r w:rsidR="004F5187" w:rsidRPr="004F5187">
        <w:rPr>
          <w:rFonts w:asciiTheme="minorHAnsi" w:hAnsiTheme="minorHAnsi"/>
          <w:sz w:val="22"/>
          <w:szCs w:val="22"/>
        </w:rPr>
        <w:t xml:space="preserve">, in addition to the $12,000 of entitlement </w:t>
      </w:r>
      <w:r w:rsidR="004F5187" w:rsidRPr="004F5187">
        <w:rPr>
          <w:rFonts w:asciiTheme="minorHAnsi" w:hAnsiTheme="minorHAnsi"/>
          <w:sz w:val="22"/>
          <w:szCs w:val="22"/>
        </w:rPr>
        <w:lastRenderedPageBreak/>
        <w:t>funds</w:t>
      </w:r>
      <w:r w:rsidR="0046509D" w:rsidRPr="004F5187">
        <w:rPr>
          <w:rFonts w:asciiTheme="minorHAnsi" w:hAnsiTheme="minorHAnsi"/>
          <w:sz w:val="22"/>
          <w:szCs w:val="22"/>
        </w:rPr>
        <w:t xml:space="preserve">. </w:t>
      </w:r>
      <w:r w:rsidR="00BE6CE3" w:rsidRPr="004F5187">
        <w:rPr>
          <w:rFonts w:asciiTheme="minorHAnsi" w:hAnsiTheme="minorHAnsi"/>
          <w:sz w:val="22"/>
          <w:szCs w:val="22"/>
        </w:rPr>
        <w:t xml:space="preserve"> </w:t>
      </w:r>
      <w:r w:rsidR="0046509D" w:rsidRPr="004F5187">
        <w:rPr>
          <w:rFonts w:asciiTheme="minorHAnsi" w:hAnsiTheme="minorHAnsi"/>
          <w:sz w:val="22"/>
          <w:szCs w:val="22"/>
        </w:rPr>
        <w:t xml:space="preserve">HUD requires that </w:t>
      </w:r>
      <w:r w:rsidR="004F5187" w:rsidRPr="004F5187">
        <w:rPr>
          <w:rFonts w:asciiTheme="minorHAnsi" w:hAnsiTheme="minorHAnsi"/>
          <w:sz w:val="22"/>
          <w:szCs w:val="22"/>
        </w:rPr>
        <w:t>program income is spent before</w:t>
      </w:r>
      <w:r w:rsidR="0046509D" w:rsidRPr="004F5187">
        <w:rPr>
          <w:rFonts w:asciiTheme="minorHAnsi" w:hAnsiTheme="minorHAnsi"/>
          <w:sz w:val="22"/>
          <w:szCs w:val="22"/>
        </w:rPr>
        <w:t xml:space="preserve"> entitlement funding can be used</w:t>
      </w:r>
      <w:r w:rsidR="004F5187" w:rsidRPr="004F5187">
        <w:rPr>
          <w:rFonts w:asciiTheme="minorHAnsi" w:hAnsiTheme="minorHAnsi"/>
          <w:sz w:val="22"/>
          <w:szCs w:val="22"/>
        </w:rPr>
        <w:t xml:space="preserve"> which enabled Homewise to almost triple its original goal of assisting 6 homeowners and serve a total of 21 households over the course of the year.</w:t>
      </w:r>
    </w:p>
    <w:p w:rsidR="00D57B2A" w:rsidRPr="004F5187" w:rsidRDefault="00D57B2A" w:rsidP="004F5187">
      <w:pPr>
        <w:pStyle w:val="NormalWeb"/>
        <w:numPr>
          <w:ilvl w:val="0"/>
          <w:numId w:val="36"/>
        </w:numPr>
        <w:spacing w:line="276" w:lineRule="auto"/>
        <w:rPr>
          <w:rFonts w:asciiTheme="minorHAnsi" w:hAnsiTheme="minorHAnsi"/>
          <w:sz w:val="22"/>
          <w:szCs w:val="22"/>
        </w:rPr>
      </w:pPr>
      <w:r w:rsidRPr="004F5187">
        <w:rPr>
          <w:rFonts w:asciiTheme="minorHAnsi" w:hAnsiTheme="minorHAnsi"/>
          <w:b/>
          <w:sz w:val="22"/>
          <w:szCs w:val="22"/>
        </w:rPr>
        <w:t>AHTF</w:t>
      </w:r>
      <w:r w:rsidR="004F5187" w:rsidRPr="004F5187">
        <w:rPr>
          <w:rFonts w:asciiTheme="minorHAnsi" w:hAnsiTheme="minorHAnsi"/>
          <w:b/>
          <w:bCs/>
          <w:sz w:val="22"/>
          <w:szCs w:val="22"/>
        </w:rPr>
        <w:t>-funded Homeowner Housing Rehabilitation</w:t>
      </w:r>
      <w:r w:rsidRPr="004F5187">
        <w:rPr>
          <w:rFonts w:asciiTheme="minorHAnsi" w:hAnsiTheme="minorHAnsi"/>
          <w:b/>
          <w:sz w:val="22"/>
          <w:szCs w:val="22"/>
        </w:rPr>
        <w:t xml:space="preserve">: </w:t>
      </w:r>
      <w:r w:rsidR="004F5187" w:rsidRPr="004F5187">
        <w:rPr>
          <w:rFonts w:asciiTheme="minorHAnsi" w:hAnsiTheme="minorHAnsi"/>
          <w:sz w:val="22"/>
          <w:szCs w:val="22"/>
        </w:rPr>
        <w:t>Funds were not available from the AHTF during the program year, so no progress is reported. Because the income limit is higher for AHTF (120% of AMI), the program works well in conjunction with CDBG which has a cap of 80%AMI.</w:t>
      </w:r>
      <w:r w:rsidR="006517B9" w:rsidRPr="004F5187">
        <w:rPr>
          <w:rFonts w:asciiTheme="minorHAnsi" w:hAnsiTheme="minorHAnsi"/>
          <w:sz w:val="22"/>
          <w:szCs w:val="22"/>
        </w:rPr>
        <w:t xml:space="preserve"> </w:t>
      </w:r>
      <w:r w:rsidR="004F5187">
        <w:rPr>
          <w:rFonts w:asciiTheme="minorHAnsi" w:hAnsiTheme="minorHAnsi"/>
          <w:sz w:val="22"/>
          <w:szCs w:val="22"/>
        </w:rPr>
        <w:t>When possible, the City strives to provide both types of funding to reach as many low- and moderate-income people as possible.</w:t>
      </w:r>
    </w:p>
    <w:tbl>
      <w:tblPr>
        <w:tblStyle w:val="TableGrid"/>
        <w:tblpPr w:leftFromText="180" w:rightFromText="180" w:vertAnchor="page" w:horzAnchor="margin" w:tblpY="7033"/>
        <w:tblW w:w="9558" w:type="dxa"/>
        <w:tblInd w:w="0" w:type="dxa"/>
        <w:tblLook w:val="00A0" w:firstRow="1" w:lastRow="0" w:firstColumn="1" w:lastColumn="0" w:noHBand="0" w:noVBand="0"/>
      </w:tblPr>
      <w:tblGrid>
        <w:gridCol w:w="1910"/>
        <w:gridCol w:w="2148"/>
        <w:gridCol w:w="1450"/>
        <w:gridCol w:w="1710"/>
        <w:gridCol w:w="2340"/>
      </w:tblGrid>
      <w:tr w:rsidR="00196C44" w:rsidRPr="0029379A" w:rsidTr="007C4E9D">
        <w:trPr>
          <w:trHeight w:val="530"/>
        </w:trPr>
        <w:tc>
          <w:tcPr>
            <w:tcW w:w="1910" w:type="dxa"/>
          </w:tcPr>
          <w:p w:rsidR="00196C44" w:rsidRPr="0029379A" w:rsidRDefault="00196C44" w:rsidP="00A73056">
            <w:pPr>
              <w:widowControl w:val="0"/>
              <w:spacing w:before="100" w:beforeAutospacing="1" w:after="100" w:afterAutospacing="1"/>
              <w:jc w:val="center"/>
              <w:rPr>
                <w:b/>
                <w:sz w:val="19"/>
                <w:szCs w:val="19"/>
              </w:rPr>
            </w:pPr>
            <w:r w:rsidRPr="0029379A">
              <w:rPr>
                <w:b/>
                <w:sz w:val="19"/>
                <w:szCs w:val="19"/>
              </w:rPr>
              <w:t>201</w:t>
            </w:r>
            <w:r>
              <w:rPr>
                <w:b/>
                <w:sz w:val="19"/>
                <w:szCs w:val="19"/>
              </w:rPr>
              <w:t>6</w:t>
            </w:r>
            <w:r w:rsidRPr="0029379A">
              <w:rPr>
                <w:b/>
                <w:sz w:val="19"/>
                <w:szCs w:val="19"/>
              </w:rPr>
              <w:t>-201</w:t>
            </w:r>
            <w:r>
              <w:rPr>
                <w:b/>
                <w:sz w:val="19"/>
                <w:szCs w:val="19"/>
              </w:rPr>
              <w:t>6</w:t>
            </w:r>
            <w:r w:rsidRPr="0029379A">
              <w:rPr>
                <w:b/>
                <w:sz w:val="19"/>
                <w:szCs w:val="19"/>
              </w:rPr>
              <w:t xml:space="preserve"> Projects</w:t>
            </w:r>
          </w:p>
        </w:tc>
        <w:tc>
          <w:tcPr>
            <w:tcW w:w="2148" w:type="dxa"/>
          </w:tcPr>
          <w:p w:rsidR="00196C44" w:rsidRPr="0029379A" w:rsidRDefault="00196C44" w:rsidP="00A73056">
            <w:pPr>
              <w:widowControl w:val="0"/>
              <w:spacing w:before="100" w:beforeAutospacing="1" w:after="100" w:afterAutospacing="1"/>
              <w:jc w:val="center"/>
              <w:rPr>
                <w:b/>
                <w:sz w:val="19"/>
                <w:szCs w:val="19"/>
              </w:rPr>
            </w:pPr>
            <w:r w:rsidRPr="0029379A">
              <w:rPr>
                <w:b/>
                <w:sz w:val="19"/>
                <w:szCs w:val="19"/>
              </w:rPr>
              <w:t xml:space="preserve">CDBG </w:t>
            </w:r>
            <w:r>
              <w:rPr>
                <w:b/>
                <w:sz w:val="19"/>
                <w:szCs w:val="19"/>
              </w:rPr>
              <w:t xml:space="preserve">Entitlement (EN) </w:t>
            </w:r>
          </w:p>
        </w:tc>
        <w:tc>
          <w:tcPr>
            <w:tcW w:w="1450" w:type="dxa"/>
          </w:tcPr>
          <w:p w:rsidR="00196C44" w:rsidRPr="0029379A" w:rsidRDefault="00196C44" w:rsidP="00A73056">
            <w:pPr>
              <w:widowControl w:val="0"/>
              <w:spacing w:before="100" w:beforeAutospacing="1" w:after="100" w:afterAutospacing="1"/>
              <w:jc w:val="center"/>
              <w:rPr>
                <w:b/>
                <w:sz w:val="19"/>
                <w:szCs w:val="19"/>
              </w:rPr>
            </w:pPr>
            <w:r>
              <w:rPr>
                <w:b/>
                <w:sz w:val="19"/>
                <w:szCs w:val="19"/>
              </w:rPr>
              <w:t>Unspent Balance</w:t>
            </w:r>
          </w:p>
        </w:tc>
        <w:tc>
          <w:tcPr>
            <w:tcW w:w="1710" w:type="dxa"/>
          </w:tcPr>
          <w:p w:rsidR="00196C44" w:rsidRPr="0029379A" w:rsidRDefault="00196C44" w:rsidP="00A73056">
            <w:pPr>
              <w:widowControl w:val="0"/>
              <w:spacing w:before="100" w:beforeAutospacing="1" w:after="100" w:afterAutospacing="1"/>
              <w:jc w:val="center"/>
              <w:rPr>
                <w:b/>
                <w:sz w:val="19"/>
                <w:szCs w:val="19"/>
              </w:rPr>
            </w:pPr>
            <w:r w:rsidRPr="0029379A">
              <w:rPr>
                <w:b/>
                <w:sz w:val="19"/>
                <w:szCs w:val="19"/>
              </w:rPr>
              <w:t>Proposed Outcomes</w:t>
            </w:r>
          </w:p>
        </w:tc>
        <w:tc>
          <w:tcPr>
            <w:tcW w:w="2340" w:type="dxa"/>
          </w:tcPr>
          <w:p w:rsidR="00196C44" w:rsidRPr="0029379A" w:rsidRDefault="00196C44" w:rsidP="00A73056">
            <w:pPr>
              <w:widowControl w:val="0"/>
              <w:spacing w:before="100" w:beforeAutospacing="1" w:after="100" w:afterAutospacing="1"/>
              <w:jc w:val="center"/>
              <w:rPr>
                <w:b/>
                <w:sz w:val="19"/>
                <w:szCs w:val="19"/>
              </w:rPr>
            </w:pPr>
            <w:r w:rsidRPr="0029379A">
              <w:rPr>
                <w:b/>
                <w:sz w:val="19"/>
                <w:szCs w:val="19"/>
              </w:rPr>
              <w:t>Actual Outcomes</w:t>
            </w:r>
          </w:p>
        </w:tc>
      </w:tr>
      <w:tr w:rsidR="00196C44" w:rsidRPr="0029379A" w:rsidTr="007C4E9D">
        <w:trPr>
          <w:trHeight w:val="304"/>
        </w:trPr>
        <w:tc>
          <w:tcPr>
            <w:tcW w:w="1910" w:type="dxa"/>
          </w:tcPr>
          <w:p w:rsidR="00196C44" w:rsidRPr="004E353A" w:rsidRDefault="00196C44" w:rsidP="00A73056">
            <w:pPr>
              <w:widowControl w:val="0"/>
              <w:spacing w:before="100" w:beforeAutospacing="1" w:after="100" w:afterAutospacing="1"/>
              <w:rPr>
                <w:b/>
                <w:sz w:val="19"/>
                <w:szCs w:val="19"/>
              </w:rPr>
            </w:pPr>
            <w:r w:rsidRPr="004E353A">
              <w:rPr>
                <w:b/>
                <w:sz w:val="19"/>
                <w:szCs w:val="19"/>
              </w:rPr>
              <w:t>Kitchen Angels</w:t>
            </w:r>
          </w:p>
        </w:tc>
        <w:tc>
          <w:tcPr>
            <w:tcW w:w="2148" w:type="dxa"/>
            <w:shd w:val="clear" w:color="auto" w:fill="auto"/>
          </w:tcPr>
          <w:p w:rsidR="00196C44" w:rsidRPr="004F5187" w:rsidRDefault="00196C44" w:rsidP="00A73056">
            <w:pPr>
              <w:widowControl w:val="0"/>
              <w:spacing w:before="100" w:beforeAutospacing="1" w:after="100" w:afterAutospacing="1"/>
              <w:rPr>
                <w:sz w:val="19"/>
                <w:szCs w:val="19"/>
              </w:rPr>
            </w:pPr>
            <w:r w:rsidRPr="004F5187">
              <w:rPr>
                <w:sz w:val="19"/>
                <w:szCs w:val="19"/>
              </w:rPr>
              <w:t>$20,000</w:t>
            </w:r>
          </w:p>
        </w:tc>
        <w:tc>
          <w:tcPr>
            <w:tcW w:w="1450" w:type="dxa"/>
          </w:tcPr>
          <w:p w:rsidR="00196C44" w:rsidRPr="004F5187" w:rsidRDefault="00196C44" w:rsidP="00A73056">
            <w:pPr>
              <w:widowControl w:val="0"/>
              <w:spacing w:before="100" w:beforeAutospacing="1" w:after="100" w:afterAutospacing="1"/>
              <w:rPr>
                <w:sz w:val="19"/>
                <w:szCs w:val="19"/>
              </w:rPr>
            </w:pPr>
            <w:r w:rsidRPr="004F5187">
              <w:rPr>
                <w:sz w:val="19"/>
                <w:szCs w:val="19"/>
              </w:rPr>
              <w:t>$0</w:t>
            </w:r>
          </w:p>
        </w:tc>
        <w:tc>
          <w:tcPr>
            <w:tcW w:w="1710" w:type="dxa"/>
          </w:tcPr>
          <w:p w:rsidR="00196C44" w:rsidRPr="004F5187" w:rsidRDefault="00196C44" w:rsidP="00A73056">
            <w:pPr>
              <w:widowControl w:val="0"/>
              <w:spacing w:before="100" w:beforeAutospacing="1" w:after="100" w:afterAutospacing="1"/>
              <w:rPr>
                <w:sz w:val="19"/>
                <w:szCs w:val="19"/>
              </w:rPr>
            </w:pPr>
            <w:r>
              <w:rPr>
                <w:sz w:val="19"/>
                <w:szCs w:val="19"/>
              </w:rPr>
              <w:t>30</w:t>
            </w:r>
            <w:r w:rsidRPr="004F5187">
              <w:rPr>
                <w:sz w:val="19"/>
                <w:szCs w:val="19"/>
              </w:rPr>
              <w:t xml:space="preserve"> new individuals</w:t>
            </w:r>
          </w:p>
        </w:tc>
        <w:tc>
          <w:tcPr>
            <w:tcW w:w="2340" w:type="dxa"/>
          </w:tcPr>
          <w:p w:rsidR="00196C44" w:rsidRPr="004F5187" w:rsidRDefault="00196C44" w:rsidP="00A73056">
            <w:pPr>
              <w:widowControl w:val="0"/>
              <w:spacing w:before="100" w:beforeAutospacing="1" w:after="100" w:afterAutospacing="1"/>
              <w:rPr>
                <w:sz w:val="19"/>
                <w:szCs w:val="19"/>
              </w:rPr>
            </w:pPr>
            <w:r>
              <w:rPr>
                <w:sz w:val="19"/>
                <w:szCs w:val="19"/>
              </w:rPr>
              <w:t>216</w:t>
            </w:r>
            <w:r w:rsidRPr="004F5187">
              <w:rPr>
                <w:sz w:val="19"/>
                <w:szCs w:val="19"/>
              </w:rPr>
              <w:t xml:space="preserve"> new individuals and </w:t>
            </w:r>
            <w:r>
              <w:rPr>
                <w:sz w:val="19"/>
                <w:szCs w:val="19"/>
              </w:rPr>
              <w:t>683</w:t>
            </w:r>
            <w:r w:rsidRPr="004F5187">
              <w:rPr>
                <w:sz w:val="19"/>
                <w:szCs w:val="19"/>
              </w:rPr>
              <w:t xml:space="preserve"> ongoing</w:t>
            </w:r>
          </w:p>
        </w:tc>
      </w:tr>
      <w:tr w:rsidR="00196C44" w:rsidRPr="0029379A" w:rsidTr="00A73056">
        <w:trPr>
          <w:trHeight w:val="563"/>
        </w:trPr>
        <w:tc>
          <w:tcPr>
            <w:tcW w:w="9558" w:type="dxa"/>
            <w:gridSpan w:val="5"/>
          </w:tcPr>
          <w:p w:rsidR="00196C44" w:rsidRPr="0029379A" w:rsidRDefault="00196C44" w:rsidP="00A73056">
            <w:pPr>
              <w:widowControl w:val="0"/>
              <w:spacing w:before="100" w:beforeAutospacing="1" w:after="100" w:afterAutospacing="1"/>
              <w:rPr>
                <w:sz w:val="19"/>
                <w:szCs w:val="19"/>
              </w:rPr>
            </w:pPr>
            <w:r w:rsidRPr="00985CCD">
              <w:rPr>
                <w:sz w:val="19"/>
                <w:szCs w:val="19"/>
              </w:rPr>
              <w:t>Narrative:</w:t>
            </w:r>
            <w:r w:rsidRPr="0029379A">
              <w:rPr>
                <w:sz w:val="19"/>
                <w:szCs w:val="19"/>
              </w:rPr>
              <w:t xml:space="preserve">  Provide nourishing, </w:t>
            </w:r>
            <w:r>
              <w:rPr>
                <w:sz w:val="19"/>
                <w:szCs w:val="19"/>
              </w:rPr>
              <w:t>home-delivered</w:t>
            </w:r>
            <w:r w:rsidRPr="0029379A">
              <w:rPr>
                <w:sz w:val="19"/>
                <w:szCs w:val="19"/>
              </w:rPr>
              <w:t xml:space="preserve"> meals to chronically ill and homebound residents, increasing the projected new clients served in the contract from </w:t>
            </w:r>
            <w:r>
              <w:rPr>
                <w:sz w:val="19"/>
                <w:szCs w:val="19"/>
              </w:rPr>
              <w:t>30 to 216.  A total of 683 clients were served for the year exceeding goals for a third year in a row.  Of the total households served, 184 were female-headed.</w:t>
            </w:r>
          </w:p>
        </w:tc>
      </w:tr>
      <w:tr w:rsidR="00196C44" w:rsidRPr="0029379A" w:rsidTr="007C4E9D">
        <w:trPr>
          <w:trHeight w:val="473"/>
        </w:trPr>
        <w:tc>
          <w:tcPr>
            <w:tcW w:w="1910" w:type="dxa"/>
          </w:tcPr>
          <w:p w:rsidR="00196C44" w:rsidRPr="00DE614A" w:rsidRDefault="00196C44" w:rsidP="00A73056">
            <w:pPr>
              <w:widowControl w:val="0"/>
              <w:spacing w:before="100" w:beforeAutospacing="1" w:after="100" w:afterAutospacing="1"/>
              <w:rPr>
                <w:b/>
                <w:sz w:val="19"/>
                <w:szCs w:val="19"/>
              </w:rPr>
            </w:pPr>
            <w:r>
              <w:rPr>
                <w:b/>
                <w:sz w:val="19"/>
                <w:szCs w:val="19"/>
              </w:rPr>
              <w:t xml:space="preserve">Habitat for Humanity Home Rehab </w:t>
            </w:r>
          </w:p>
        </w:tc>
        <w:tc>
          <w:tcPr>
            <w:tcW w:w="2148" w:type="dxa"/>
          </w:tcPr>
          <w:p w:rsidR="00196C44" w:rsidRPr="00392942" w:rsidRDefault="00196C44" w:rsidP="00A73056">
            <w:pPr>
              <w:widowControl w:val="0"/>
              <w:spacing w:before="100" w:beforeAutospacing="1" w:after="100" w:afterAutospacing="1"/>
              <w:rPr>
                <w:sz w:val="19"/>
                <w:szCs w:val="19"/>
              </w:rPr>
            </w:pPr>
            <w:r w:rsidRPr="00392942">
              <w:rPr>
                <w:sz w:val="19"/>
                <w:szCs w:val="19"/>
              </w:rPr>
              <w:t>$60,000</w:t>
            </w:r>
          </w:p>
        </w:tc>
        <w:tc>
          <w:tcPr>
            <w:tcW w:w="1450" w:type="dxa"/>
          </w:tcPr>
          <w:p w:rsidR="00196C44" w:rsidRPr="00392942" w:rsidRDefault="00196C44" w:rsidP="00A73056">
            <w:pPr>
              <w:widowControl w:val="0"/>
              <w:spacing w:before="100" w:beforeAutospacing="1" w:after="100" w:afterAutospacing="1"/>
              <w:rPr>
                <w:sz w:val="19"/>
                <w:szCs w:val="19"/>
              </w:rPr>
            </w:pPr>
            <w:r w:rsidRPr="00392942">
              <w:rPr>
                <w:sz w:val="19"/>
                <w:szCs w:val="19"/>
              </w:rPr>
              <w:t>$0</w:t>
            </w:r>
          </w:p>
        </w:tc>
        <w:tc>
          <w:tcPr>
            <w:tcW w:w="1710" w:type="dxa"/>
          </w:tcPr>
          <w:p w:rsidR="00196C44" w:rsidRPr="00392942" w:rsidRDefault="00196C44" w:rsidP="00A73056">
            <w:pPr>
              <w:widowControl w:val="0"/>
              <w:spacing w:before="100" w:beforeAutospacing="1" w:after="100" w:afterAutospacing="1"/>
              <w:rPr>
                <w:sz w:val="19"/>
                <w:szCs w:val="19"/>
              </w:rPr>
            </w:pPr>
            <w:r w:rsidRPr="00392942">
              <w:rPr>
                <w:sz w:val="19"/>
                <w:szCs w:val="19"/>
              </w:rPr>
              <w:t>6 households</w:t>
            </w:r>
          </w:p>
        </w:tc>
        <w:tc>
          <w:tcPr>
            <w:tcW w:w="2340" w:type="dxa"/>
          </w:tcPr>
          <w:p w:rsidR="00196C44" w:rsidRPr="00392942" w:rsidRDefault="00196C44" w:rsidP="00A73056">
            <w:pPr>
              <w:widowControl w:val="0"/>
              <w:spacing w:before="100" w:beforeAutospacing="1" w:after="100" w:afterAutospacing="1"/>
              <w:rPr>
                <w:sz w:val="19"/>
                <w:szCs w:val="19"/>
              </w:rPr>
            </w:pPr>
            <w:r w:rsidRPr="00392942">
              <w:rPr>
                <w:sz w:val="19"/>
                <w:szCs w:val="19"/>
              </w:rPr>
              <w:t>16 households</w:t>
            </w:r>
          </w:p>
        </w:tc>
      </w:tr>
      <w:tr w:rsidR="00196C44" w:rsidRPr="0029379A" w:rsidTr="00A73056">
        <w:trPr>
          <w:trHeight w:val="350"/>
        </w:trPr>
        <w:tc>
          <w:tcPr>
            <w:tcW w:w="9558" w:type="dxa"/>
            <w:gridSpan w:val="5"/>
          </w:tcPr>
          <w:p w:rsidR="00196C44" w:rsidRDefault="00196C44" w:rsidP="00A73056">
            <w:pPr>
              <w:widowControl w:val="0"/>
              <w:spacing w:before="100" w:beforeAutospacing="1" w:after="100" w:afterAutospacing="1"/>
              <w:rPr>
                <w:sz w:val="19"/>
                <w:szCs w:val="19"/>
              </w:rPr>
            </w:pPr>
            <w:r>
              <w:rPr>
                <w:sz w:val="19"/>
                <w:szCs w:val="19"/>
              </w:rPr>
              <w:t xml:space="preserve">Narrative:  Provided necessary emergency funds to LMI, elderly homeowners; all 17 are single, female head of household. </w:t>
            </w:r>
          </w:p>
        </w:tc>
      </w:tr>
      <w:tr w:rsidR="00196C44" w:rsidRPr="0029379A" w:rsidTr="007C4E9D">
        <w:trPr>
          <w:trHeight w:val="473"/>
        </w:trPr>
        <w:tc>
          <w:tcPr>
            <w:tcW w:w="1910" w:type="dxa"/>
          </w:tcPr>
          <w:p w:rsidR="00196C44" w:rsidRPr="00DC213B" w:rsidRDefault="00196C44" w:rsidP="00A73056">
            <w:pPr>
              <w:widowControl w:val="0"/>
              <w:spacing w:before="100" w:beforeAutospacing="1" w:after="100" w:afterAutospacing="1"/>
              <w:rPr>
                <w:b/>
                <w:sz w:val="19"/>
                <w:szCs w:val="19"/>
              </w:rPr>
            </w:pPr>
            <w:r w:rsidRPr="00DC213B">
              <w:rPr>
                <w:b/>
                <w:sz w:val="19"/>
                <w:szCs w:val="19"/>
              </w:rPr>
              <w:t>Youth Shelters and Family Services</w:t>
            </w:r>
            <w:r>
              <w:rPr>
                <w:b/>
                <w:sz w:val="19"/>
                <w:szCs w:val="19"/>
              </w:rPr>
              <w:t xml:space="preserve"> (YSFS)</w:t>
            </w:r>
          </w:p>
        </w:tc>
        <w:tc>
          <w:tcPr>
            <w:tcW w:w="2148" w:type="dxa"/>
          </w:tcPr>
          <w:p w:rsidR="00196C44" w:rsidRPr="00392942" w:rsidRDefault="00196C44" w:rsidP="00A73056">
            <w:pPr>
              <w:widowControl w:val="0"/>
              <w:spacing w:before="100" w:beforeAutospacing="1" w:after="100" w:afterAutospacing="1"/>
              <w:rPr>
                <w:sz w:val="19"/>
                <w:szCs w:val="19"/>
              </w:rPr>
            </w:pPr>
            <w:r w:rsidRPr="00392942">
              <w:rPr>
                <w:sz w:val="19"/>
                <w:szCs w:val="19"/>
              </w:rPr>
              <w:t>$20,551</w:t>
            </w:r>
          </w:p>
        </w:tc>
        <w:tc>
          <w:tcPr>
            <w:tcW w:w="1450" w:type="dxa"/>
          </w:tcPr>
          <w:p w:rsidR="00196C44" w:rsidRPr="00392942" w:rsidRDefault="00196C44" w:rsidP="00A73056">
            <w:pPr>
              <w:widowControl w:val="0"/>
              <w:spacing w:before="100" w:beforeAutospacing="1" w:after="100" w:afterAutospacing="1"/>
              <w:rPr>
                <w:sz w:val="19"/>
                <w:szCs w:val="19"/>
              </w:rPr>
            </w:pPr>
            <w:r w:rsidRPr="00392942">
              <w:rPr>
                <w:sz w:val="19"/>
                <w:szCs w:val="19"/>
              </w:rPr>
              <w:t>$0</w:t>
            </w:r>
          </w:p>
        </w:tc>
        <w:tc>
          <w:tcPr>
            <w:tcW w:w="1710" w:type="dxa"/>
          </w:tcPr>
          <w:p w:rsidR="00196C44" w:rsidRPr="00392942" w:rsidRDefault="00196C44" w:rsidP="00A73056">
            <w:pPr>
              <w:widowControl w:val="0"/>
              <w:spacing w:before="100" w:beforeAutospacing="1" w:after="100" w:afterAutospacing="1"/>
              <w:rPr>
                <w:sz w:val="19"/>
                <w:szCs w:val="19"/>
              </w:rPr>
            </w:pPr>
            <w:r w:rsidRPr="00392942">
              <w:rPr>
                <w:sz w:val="19"/>
                <w:szCs w:val="19"/>
              </w:rPr>
              <w:t>500 youth</w:t>
            </w:r>
          </w:p>
        </w:tc>
        <w:tc>
          <w:tcPr>
            <w:tcW w:w="2340" w:type="dxa"/>
          </w:tcPr>
          <w:p w:rsidR="00196C44" w:rsidRPr="00392942" w:rsidRDefault="00196C44" w:rsidP="00A73056">
            <w:pPr>
              <w:widowControl w:val="0"/>
              <w:spacing w:before="100" w:beforeAutospacing="1" w:after="100" w:afterAutospacing="1"/>
              <w:rPr>
                <w:sz w:val="19"/>
                <w:szCs w:val="19"/>
              </w:rPr>
            </w:pPr>
            <w:r w:rsidRPr="00392942">
              <w:rPr>
                <w:sz w:val="19"/>
                <w:szCs w:val="19"/>
              </w:rPr>
              <w:t>412 youth</w:t>
            </w:r>
          </w:p>
        </w:tc>
      </w:tr>
      <w:tr w:rsidR="00196C44" w:rsidRPr="0029379A" w:rsidTr="00A73056">
        <w:trPr>
          <w:trHeight w:val="473"/>
        </w:trPr>
        <w:tc>
          <w:tcPr>
            <w:tcW w:w="9558" w:type="dxa"/>
            <w:gridSpan w:val="5"/>
          </w:tcPr>
          <w:p w:rsidR="00196C44" w:rsidRDefault="00196C44" w:rsidP="00A73056">
            <w:pPr>
              <w:widowControl w:val="0"/>
              <w:spacing w:before="100" w:beforeAutospacing="1" w:after="100" w:afterAutospacing="1"/>
              <w:rPr>
                <w:sz w:val="19"/>
                <w:szCs w:val="19"/>
              </w:rPr>
            </w:pPr>
            <w:r>
              <w:rPr>
                <w:sz w:val="19"/>
                <w:szCs w:val="19"/>
              </w:rPr>
              <w:t>Narrative:  Provided increased hours of both street outreach and case management services to homeless youth.  All reported in IDIS provided ethnicity data, though 81 identified as “unknown”.  Of the total actually served, 133 youth are female and are considered head of household.</w:t>
            </w:r>
          </w:p>
        </w:tc>
      </w:tr>
      <w:tr w:rsidR="00A73056" w:rsidRPr="0029379A" w:rsidTr="007C4E9D">
        <w:trPr>
          <w:trHeight w:val="473"/>
        </w:trPr>
        <w:tc>
          <w:tcPr>
            <w:tcW w:w="1910" w:type="dxa"/>
          </w:tcPr>
          <w:p w:rsidR="00A73056" w:rsidRPr="00B20458" w:rsidRDefault="00A73056" w:rsidP="00A73056">
            <w:pPr>
              <w:widowControl w:val="0"/>
              <w:spacing w:before="100" w:beforeAutospacing="1" w:after="100" w:afterAutospacing="1"/>
              <w:rPr>
                <w:b/>
                <w:sz w:val="19"/>
                <w:szCs w:val="19"/>
              </w:rPr>
            </w:pPr>
            <w:r w:rsidRPr="00B20458">
              <w:rPr>
                <w:b/>
                <w:sz w:val="19"/>
                <w:szCs w:val="19"/>
              </w:rPr>
              <w:t xml:space="preserve">Adelante </w:t>
            </w:r>
            <w:r>
              <w:rPr>
                <w:b/>
                <w:sz w:val="19"/>
                <w:szCs w:val="19"/>
              </w:rPr>
              <w:t>Elementary School Liaison</w:t>
            </w:r>
          </w:p>
        </w:tc>
        <w:tc>
          <w:tcPr>
            <w:tcW w:w="2148" w:type="dxa"/>
          </w:tcPr>
          <w:p w:rsidR="00A73056" w:rsidRPr="00392942" w:rsidRDefault="00A73056" w:rsidP="00A73056">
            <w:pPr>
              <w:widowControl w:val="0"/>
              <w:spacing w:before="100" w:beforeAutospacing="1" w:after="100" w:afterAutospacing="1"/>
              <w:rPr>
                <w:sz w:val="19"/>
                <w:szCs w:val="19"/>
              </w:rPr>
            </w:pPr>
            <w:r w:rsidRPr="00392942">
              <w:rPr>
                <w:sz w:val="19"/>
                <w:szCs w:val="19"/>
              </w:rPr>
              <w:t>$</w:t>
            </w:r>
            <w:r>
              <w:rPr>
                <w:sz w:val="19"/>
                <w:szCs w:val="19"/>
              </w:rPr>
              <w:t>20,198</w:t>
            </w:r>
          </w:p>
        </w:tc>
        <w:tc>
          <w:tcPr>
            <w:tcW w:w="1450" w:type="dxa"/>
          </w:tcPr>
          <w:p w:rsidR="00A73056" w:rsidRPr="00392942" w:rsidRDefault="00A73056" w:rsidP="00A73056">
            <w:pPr>
              <w:widowControl w:val="0"/>
              <w:spacing w:before="100" w:beforeAutospacing="1" w:after="100" w:afterAutospacing="1"/>
              <w:rPr>
                <w:sz w:val="19"/>
                <w:szCs w:val="19"/>
              </w:rPr>
            </w:pPr>
            <w:r w:rsidRPr="00392942">
              <w:rPr>
                <w:sz w:val="19"/>
                <w:szCs w:val="19"/>
              </w:rPr>
              <w:t>$</w:t>
            </w:r>
            <w:r>
              <w:rPr>
                <w:sz w:val="19"/>
                <w:szCs w:val="19"/>
              </w:rPr>
              <w:t>291.95</w:t>
            </w:r>
          </w:p>
        </w:tc>
        <w:tc>
          <w:tcPr>
            <w:tcW w:w="1710" w:type="dxa"/>
          </w:tcPr>
          <w:p w:rsidR="00A73056" w:rsidRPr="00392942" w:rsidRDefault="00A73056" w:rsidP="00A73056">
            <w:pPr>
              <w:widowControl w:val="0"/>
              <w:spacing w:before="100" w:beforeAutospacing="1" w:after="100" w:afterAutospacing="1"/>
              <w:rPr>
                <w:sz w:val="19"/>
                <w:szCs w:val="19"/>
              </w:rPr>
            </w:pPr>
            <w:r>
              <w:rPr>
                <w:sz w:val="19"/>
                <w:szCs w:val="19"/>
              </w:rPr>
              <w:t>4</w:t>
            </w:r>
            <w:r w:rsidRPr="00392942">
              <w:rPr>
                <w:sz w:val="19"/>
                <w:szCs w:val="19"/>
              </w:rPr>
              <w:t>00 students</w:t>
            </w:r>
          </w:p>
        </w:tc>
        <w:tc>
          <w:tcPr>
            <w:tcW w:w="2340" w:type="dxa"/>
          </w:tcPr>
          <w:p w:rsidR="00A73056" w:rsidRPr="00392942" w:rsidRDefault="00A73056" w:rsidP="007C4E9D">
            <w:pPr>
              <w:widowControl w:val="0"/>
              <w:spacing w:before="100" w:beforeAutospacing="1" w:after="100" w:afterAutospacing="1"/>
              <w:rPr>
                <w:sz w:val="19"/>
                <w:szCs w:val="19"/>
              </w:rPr>
            </w:pPr>
            <w:r>
              <w:rPr>
                <w:sz w:val="19"/>
                <w:szCs w:val="19"/>
              </w:rPr>
              <w:t>440</w:t>
            </w:r>
            <w:r w:rsidRPr="00392942">
              <w:rPr>
                <w:sz w:val="19"/>
                <w:szCs w:val="19"/>
              </w:rPr>
              <w:t xml:space="preserve"> </w:t>
            </w:r>
            <w:r w:rsidR="007C4E9D">
              <w:rPr>
                <w:sz w:val="19"/>
                <w:szCs w:val="19"/>
              </w:rPr>
              <w:t>s</w:t>
            </w:r>
            <w:r w:rsidRPr="00392942">
              <w:rPr>
                <w:sz w:val="19"/>
                <w:szCs w:val="19"/>
              </w:rPr>
              <w:t>tudents</w:t>
            </w:r>
          </w:p>
        </w:tc>
      </w:tr>
      <w:tr w:rsidR="00A73056" w:rsidRPr="0029379A" w:rsidTr="00454698">
        <w:trPr>
          <w:trHeight w:val="473"/>
        </w:trPr>
        <w:tc>
          <w:tcPr>
            <w:tcW w:w="9558" w:type="dxa"/>
            <w:gridSpan w:val="5"/>
          </w:tcPr>
          <w:p w:rsidR="00A73056" w:rsidRPr="00392942" w:rsidRDefault="00A73056" w:rsidP="00A73056">
            <w:pPr>
              <w:widowControl w:val="0"/>
              <w:spacing w:before="100" w:beforeAutospacing="1" w:after="100" w:afterAutospacing="1"/>
              <w:rPr>
                <w:sz w:val="19"/>
                <w:szCs w:val="19"/>
              </w:rPr>
            </w:pPr>
            <w:r w:rsidRPr="00985CCD">
              <w:rPr>
                <w:sz w:val="19"/>
                <w:szCs w:val="19"/>
              </w:rPr>
              <w:t>Narrative:</w:t>
            </w:r>
            <w:r>
              <w:rPr>
                <w:sz w:val="19"/>
                <w:szCs w:val="19"/>
              </w:rPr>
              <w:t xml:space="preserve"> Continued providing services to the families of students experiencing homelessness, including referral to social services, additional food, clothing and academic help.</w:t>
            </w:r>
          </w:p>
        </w:tc>
      </w:tr>
      <w:tr w:rsidR="00A73056" w:rsidRPr="0029379A" w:rsidTr="007C4E9D">
        <w:trPr>
          <w:trHeight w:val="473"/>
        </w:trPr>
        <w:tc>
          <w:tcPr>
            <w:tcW w:w="1910" w:type="dxa"/>
          </w:tcPr>
          <w:p w:rsidR="00A73056" w:rsidRPr="00C915DF" w:rsidRDefault="00C915DF" w:rsidP="00C915DF">
            <w:pPr>
              <w:widowControl w:val="0"/>
              <w:spacing w:before="100" w:beforeAutospacing="1" w:after="100" w:afterAutospacing="1"/>
              <w:rPr>
                <w:b/>
                <w:sz w:val="19"/>
                <w:szCs w:val="19"/>
              </w:rPr>
            </w:pPr>
            <w:r w:rsidRPr="00C915DF">
              <w:rPr>
                <w:b/>
                <w:sz w:val="19"/>
                <w:szCs w:val="19"/>
              </w:rPr>
              <w:t xml:space="preserve">Youth Works Facility Improvement </w:t>
            </w:r>
          </w:p>
        </w:tc>
        <w:tc>
          <w:tcPr>
            <w:tcW w:w="2148" w:type="dxa"/>
          </w:tcPr>
          <w:p w:rsidR="00A73056" w:rsidRPr="0029379A" w:rsidRDefault="00C915DF" w:rsidP="00A73056">
            <w:pPr>
              <w:widowControl w:val="0"/>
              <w:spacing w:before="100" w:beforeAutospacing="1" w:after="100" w:afterAutospacing="1"/>
              <w:rPr>
                <w:sz w:val="19"/>
                <w:szCs w:val="19"/>
              </w:rPr>
            </w:pPr>
            <w:r>
              <w:rPr>
                <w:sz w:val="19"/>
                <w:szCs w:val="19"/>
              </w:rPr>
              <w:t>$26,000</w:t>
            </w:r>
          </w:p>
        </w:tc>
        <w:tc>
          <w:tcPr>
            <w:tcW w:w="1450" w:type="dxa"/>
          </w:tcPr>
          <w:p w:rsidR="00A73056" w:rsidRPr="0029379A" w:rsidRDefault="00C915DF" w:rsidP="00A73056">
            <w:pPr>
              <w:widowControl w:val="0"/>
              <w:spacing w:before="100" w:beforeAutospacing="1" w:after="100" w:afterAutospacing="1"/>
              <w:rPr>
                <w:sz w:val="19"/>
                <w:szCs w:val="19"/>
              </w:rPr>
            </w:pPr>
            <w:r>
              <w:rPr>
                <w:sz w:val="19"/>
                <w:szCs w:val="19"/>
              </w:rPr>
              <w:t>$0</w:t>
            </w:r>
          </w:p>
        </w:tc>
        <w:tc>
          <w:tcPr>
            <w:tcW w:w="1710" w:type="dxa"/>
          </w:tcPr>
          <w:p w:rsidR="00A73056" w:rsidRPr="0029379A" w:rsidRDefault="00C915DF" w:rsidP="00A73056">
            <w:pPr>
              <w:widowControl w:val="0"/>
              <w:spacing w:before="100" w:beforeAutospacing="1" w:after="100" w:afterAutospacing="1"/>
              <w:rPr>
                <w:sz w:val="19"/>
                <w:szCs w:val="19"/>
              </w:rPr>
            </w:pPr>
            <w:r>
              <w:rPr>
                <w:sz w:val="19"/>
                <w:szCs w:val="19"/>
              </w:rPr>
              <w:t>500 youth</w:t>
            </w:r>
          </w:p>
        </w:tc>
        <w:tc>
          <w:tcPr>
            <w:tcW w:w="2340" w:type="dxa"/>
          </w:tcPr>
          <w:p w:rsidR="00A73056" w:rsidRPr="0029379A" w:rsidRDefault="00C915DF" w:rsidP="00A73056">
            <w:pPr>
              <w:widowControl w:val="0"/>
              <w:spacing w:before="100" w:beforeAutospacing="1" w:after="100" w:afterAutospacing="1"/>
              <w:rPr>
                <w:sz w:val="19"/>
                <w:szCs w:val="19"/>
              </w:rPr>
            </w:pPr>
            <w:r>
              <w:rPr>
                <w:sz w:val="19"/>
                <w:szCs w:val="19"/>
              </w:rPr>
              <w:t xml:space="preserve">974 youth </w:t>
            </w:r>
          </w:p>
        </w:tc>
      </w:tr>
      <w:tr w:rsidR="00C915DF" w:rsidRPr="0029379A" w:rsidTr="00454698">
        <w:trPr>
          <w:trHeight w:val="473"/>
        </w:trPr>
        <w:tc>
          <w:tcPr>
            <w:tcW w:w="9558" w:type="dxa"/>
            <w:gridSpan w:val="5"/>
          </w:tcPr>
          <w:p w:rsidR="00C915DF" w:rsidRPr="0029379A" w:rsidRDefault="00C915DF" w:rsidP="00C915DF">
            <w:pPr>
              <w:widowControl w:val="0"/>
              <w:spacing w:after="0" w:line="240" w:lineRule="auto"/>
              <w:rPr>
                <w:sz w:val="19"/>
                <w:szCs w:val="19"/>
              </w:rPr>
            </w:pPr>
            <w:r>
              <w:rPr>
                <w:sz w:val="19"/>
                <w:szCs w:val="19"/>
              </w:rPr>
              <w:t>Funds were used to replace the roof at the organization’s main office where services are provided to runaway, disconnected and/or homeless youth. The roof repair will enable the installation of solar panels, which is part of an overall upgrade to increase the building’s energy efficiency and bring down energy costs.</w:t>
            </w:r>
          </w:p>
        </w:tc>
      </w:tr>
    </w:tbl>
    <w:p w:rsidR="00196C44" w:rsidRDefault="00196C44" w:rsidP="00A73056">
      <w:pPr>
        <w:spacing w:after="0"/>
        <w:rPr>
          <w:rFonts w:asciiTheme="minorHAnsi" w:hAnsiTheme="minorHAnsi"/>
        </w:rPr>
      </w:pPr>
      <w:r w:rsidRPr="00852858">
        <w:rPr>
          <w:rFonts w:asciiTheme="minorHAnsi" w:hAnsiTheme="minorHAnsi"/>
        </w:rPr>
        <w:t xml:space="preserve">Table 1 summarizes all programs funded with CDBG money </w:t>
      </w:r>
      <w:r>
        <w:rPr>
          <w:rFonts w:asciiTheme="minorHAnsi" w:hAnsiTheme="minorHAnsi"/>
        </w:rPr>
        <w:t>in 2016 and shows targeted versus actual outcomes</w:t>
      </w:r>
      <w:r w:rsidRPr="00852858">
        <w:rPr>
          <w:rFonts w:asciiTheme="minorHAnsi" w:hAnsiTheme="minorHAnsi"/>
        </w:rPr>
        <w:t xml:space="preserve">, including </w:t>
      </w:r>
      <w:r>
        <w:rPr>
          <w:rFonts w:asciiTheme="minorHAnsi" w:hAnsiTheme="minorHAnsi"/>
        </w:rPr>
        <w:t xml:space="preserve">the categories of </w:t>
      </w:r>
      <w:r w:rsidRPr="00852858">
        <w:rPr>
          <w:rFonts w:asciiTheme="minorHAnsi" w:hAnsiTheme="minorHAnsi"/>
        </w:rPr>
        <w:t>housing projects</w:t>
      </w:r>
      <w:r>
        <w:rPr>
          <w:rFonts w:asciiTheme="minorHAnsi" w:hAnsiTheme="minorHAnsi"/>
        </w:rPr>
        <w:t>,</w:t>
      </w:r>
      <w:r w:rsidRPr="00852858">
        <w:rPr>
          <w:rFonts w:asciiTheme="minorHAnsi" w:hAnsiTheme="minorHAnsi"/>
        </w:rPr>
        <w:t xml:space="preserve"> public service activities and public facility improvements.</w:t>
      </w:r>
      <w:r>
        <w:rPr>
          <w:rFonts w:asciiTheme="minorHAnsi" w:hAnsiTheme="minorHAnsi"/>
        </w:rPr>
        <w:t xml:space="preserve">  These summaries also include data not previously reported on for female-headed household and disability categories as a requirement of HUD Fair Housing and Equal Opportunity.  A total of </w:t>
      </w:r>
      <w:r w:rsidRPr="00E87A10">
        <w:rPr>
          <w:rFonts w:asciiTheme="minorHAnsi" w:hAnsiTheme="minorHAnsi"/>
          <w:highlight w:val="yellow"/>
        </w:rPr>
        <w:t>355</w:t>
      </w:r>
      <w:r>
        <w:rPr>
          <w:rFonts w:asciiTheme="minorHAnsi" w:hAnsiTheme="minorHAnsi"/>
        </w:rPr>
        <w:t xml:space="preserve"> beneficiaries of female-headed households were reported and broken down by project in Table 1.  No disabilities were reported as served amongst the 10 projects.</w:t>
      </w:r>
    </w:p>
    <w:p w:rsidR="00A73056" w:rsidRDefault="00A73056" w:rsidP="00A73056">
      <w:pPr>
        <w:spacing w:after="0"/>
        <w:rPr>
          <w:rFonts w:asciiTheme="minorHAnsi" w:hAnsiTheme="minorHAnsi"/>
        </w:rPr>
      </w:pPr>
    </w:p>
    <w:p w:rsidR="00A73056" w:rsidRDefault="00A73056" w:rsidP="00A73056">
      <w:r w:rsidRPr="00196C44">
        <w:rPr>
          <w:b/>
        </w:rPr>
        <w:t>Table 1.</w:t>
      </w:r>
      <w:r w:rsidRPr="0029379A">
        <w:rPr>
          <w:b/>
        </w:rPr>
        <w:t xml:space="preserve"> Program Year 201</w:t>
      </w:r>
      <w:r>
        <w:rPr>
          <w:b/>
        </w:rPr>
        <w:t>6</w:t>
      </w:r>
      <w:r w:rsidRPr="0029379A">
        <w:rPr>
          <w:b/>
        </w:rPr>
        <w:t xml:space="preserve"> Evaluation</w:t>
      </w:r>
    </w:p>
    <w:p w:rsidR="009F2596" w:rsidRPr="00AA2771" w:rsidRDefault="00C915DF" w:rsidP="00C915DF">
      <w:pPr>
        <w:spacing w:after="0"/>
        <w:rPr>
          <w:rFonts w:asciiTheme="minorHAnsi" w:hAnsiTheme="minorHAnsi"/>
        </w:rPr>
      </w:pPr>
      <w:r w:rsidRPr="00A73056">
        <w:rPr>
          <w:b/>
        </w:rPr>
        <w:lastRenderedPageBreak/>
        <w:t>Table 1:</w:t>
      </w:r>
      <w:r w:rsidRPr="0029379A">
        <w:rPr>
          <w:b/>
        </w:rPr>
        <w:t xml:space="preserve">  Program Year 201</w:t>
      </w:r>
      <w:r>
        <w:rPr>
          <w:b/>
        </w:rPr>
        <w:t>5</w:t>
      </w:r>
      <w:r w:rsidRPr="0029379A">
        <w:rPr>
          <w:b/>
        </w:rPr>
        <w:t xml:space="preserve"> Evaluation</w:t>
      </w:r>
      <w:r>
        <w:rPr>
          <w:b/>
        </w:rPr>
        <w:t xml:space="preserve"> – Cont.</w:t>
      </w:r>
    </w:p>
    <w:tbl>
      <w:tblPr>
        <w:tblStyle w:val="TableGrid"/>
        <w:tblpPr w:leftFromText="180" w:rightFromText="180" w:vertAnchor="page" w:horzAnchor="margin" w:tblpY="2113"/>
        <w:tblW w:w="9534" w:type="dxa"/>
        <w:tblInd w:w="0" w:type="dxa"/>
        <w:tblLook w:val="00A0" w:firstRow="1" w:lastRow="0" w:firstColumn="1" w:lastColumn="0" w:noHBand="0" w:noVBand="0"/>
      </w:tblPr>
      <w:tblGrid>
        <w:gridCol w:w="1794"/>
        <w:gridCol w:w="2329"/>
        <w:gridCol w:w="1800"/>
        <w:gridCol w:w="1803"/>
        <w:gridCol w:w="1808"/>
      </w:tblGrid>
      <w:tr w:rsidR="007C4E9D" w:rsidRPr="0029379A" w:rsidTr="007C4E9D">
        <w:trPr>
          <w:trHeight w:val="304"/>
        </w:trPr>
        <w:tc>
          <w:tcPr>
            <w:tcW w:w="1794" w:type="dxa"/>
          </w:tcPr>
          <w:p w:rsidR="007C4E9D" w:rsidRPr="0029379A" w:rsidRDefault="007C4E9D" w:rsidP="007C4E9D">
            <w:pPr>
              <w:widowControl w:val="0"/>
              <w:spacing w:before="100" w:beforeAutospacing="1" w:after="100" w:afterAutospacing="1"/>
              <w:jc w:val="center"/>
              <w:rPr>
                <w:b/>
                <w:sz w:val="19"/>
                <w:szCs w:val="19"/>
              </w:rPr>
            </w:pPr>
            <w:r w:rsidRPr="0029379A">
              <w:rPr>
                <w:b/>
                <w:sz w:val="19"/>
                <w:szCs w:val="19"/>
              </w:rPr>
              <w:t>201</w:t>
            </w:r>
            <w:r>
              <w:rPr>
                <w:b/>
                <w:sz w:val="19"/>
                <w:szCs w:val="19"/>
              </w:rPr>
              <w:t>6</w:t>
            </w:r>
            <w:r w:rsidRPr="0029379A">
              <w:rPr>
                <w:b/>
                <w:sz w:val="19"/>
                <w:szCs w:val="19"/>
              </w:rPr>
              <w:t>-201</w:t>
            </w:r>
            <w:r>
              <w:rPr>
                <w:b/>
                <w:sz w:val="19"/>
                <w:szCs w:val="19"/>
              </w:rPr>
              <w:t>6</w:t>
            </w:r>
            <w:r w:rsidRPr="0029379A">
              <w:rPr>
                <w:b/>
                <w:sz w:val="19"/>
                <w:szCs w:val="19"/>
              </w:rPr>
              <w:t xml:space="preserve"> Projects</w:t>
            </w:r>
          </w:p>
        </w:tc>
        <w:tc>
          <w:tcPr>
            <w:tcW w:w="2329" w:type="dxa"/>
          </w:tcPr>
          <w:p w:rsidR="007C4E9D" w:rsidRPr="0029379A" w:rsidRDefault="007C4E9D" w:rsidP="007C4E9D">
            <w:pPr>
              <w:widowControl w:val="0"/>
              <w:spacing w:before="100" w:beforeAutospacing="1" w:after="100" w:afterAutospacing="1"/>
              <w:jc w:val="center"/>
              <w:rPr>
                <w:b/>
                <w:sz w:val="19"/>
                <w:szCs w:val="19"/>
              </w:rPr>
            </w:pPr>
            <w:r w:rsidRPr="0029379A">
              <w:rPr>
                <w:b/>
                <w:sz w:val="19"/>
                <w:szCs w:val="19"/>
              </w:rPr>
              <w:t xml:space="preserve">CDBG </w:t>
            </w:r>
            <w:r>
              <w:rPr>
                <w:b/>
                <w:sz w:val="19"/>
                <w:szCs w:val="19"/>
              </w:rPr>
              <w:t xml:space="preserve">Entitlement (EN) </w:t>
            </w:r>
          </w:p>
        </w:tc>
        <w:tc>
          <w:tcPr>
            <w:tcW w:w="1800" w:type="dxa"/>
          </w:tcPr>
          <w:p w:rsidR="007C4E9D" w:rsidRPr="0029379A" w:rsidRDefault="007C4E9D" w:rsidP="007C4E9D">
            <w:pPr>
              <w:widowControl w:val="0"/>
              <w:spacing w:before="100" w:beforeAutospacing="1" w:after="100" w:afterAutospacing="1"/>
              <w:jc w:val="center"/>
              <w:rPr>
                <w:b/>
                <w:sz w:val="19"/>
                <w:szCs w:val="19"/>
              </w:rPr>
            </w:pPr>
            <w:r>
              <w:rPr>
                <w:b/>
                <w:sz w:val="19"/>
                <w:szCs w:val="19"/>
              </w:rPr>
              <w:t>Unspent Balance</w:t>
            </w:r>
          </w:p>
        </w:tc>
        <w:tc>
          <w:tcPr>
            <w:tcW w:w="1803" w:type="dxa"/>
          </w:tcPr>
          <w:p w:rsidR="007C4E9D" w:rsidRPr="0029379A" w:rsidRDefault="007C4E9D" w:rsidP="007C4E9D">
            <w:pPr>
              <w:widowControl w:val="0"/>
              <w:spacing w:before="100" w:beforeAutospacing="1" w:after="100" w:afterAutospacing="1"/>
              <w:jc w:val="center"/>
              <w:rPr>
                <w:b/>
                <w:sz w:val="19"/>
                <w:szCs w:val="19"/>
              </w:rPr>
            </w:pPr>
            <w:r w:rsidRPr="0029379A">
              <w:rPr>
                <w:b/>
                <w:sz w:val="19"/>
                <w:szCs w:val="19"/>
              </w:rPr>
              <w:t>Proposed Outcomes</w:t>
            </w:r>
          </w:p>
        </w:tc>
        <w:tc>
          <w:tcPr>
            <w:tcW w:w="1808" w:type="dxa"/>
          </w:tcPr>
          <w:p w:rsidR="007C4E9D" w:rsidRPr="0029379A" w:rsidRDefault="007C4E9D" w:rsidP="007C4E9D">
            <w:pPr>
              <w:widowControl w:val="0"/>
              <w:spacing w:before="100" w:beforeAutospacing="1" w:after="100" w:afterAutospacing="1"/>
              <w:jc w:val="center"/>
              <w:rPr>
                <w:b/>
                <w:sz w:val="19"/>
                <w:szCs w:val="19"/>
              </w:rPr>
            </w:pPr>
            <w:r w:rsidRPr="0029379A">
              <w:rPr>
                <w:b/>
                <w:sz w:val="19"/>
                <w:szCs w:val="19"/>
              </w:rPr>
              <w:t>Actual Outcomes</w:t>
            </w:r>
          </w:p>
        </w:tc>
      </w:tr>
      <w:tr w:rsidR="007C4E9D" w:rsidRPr="0029379A" w:rsidTr="007C4E9D">
        <w:trPr>
          <w:trHeight w:val="304"/>
        </w:trPr>
        <w:tc>
          <w:tcPr>
            <w:tcW w:w="1794" w:type="dxa"/>
          </w:tcPr>
          <w:p w:rsidR="007C4E9D" w:rsidRPr="004E353A" w:rsidRDefault="007C4E9D" w:rsidP="007C4E9D">
            <w:pPr>
              <w:widowControl w:val="0"/>
              <w:spacing w:after="0"/>
              <w:rPr>
                <w:b/>
                <w:sz w:val="19"/>
                <w:szCs w:val="19"/>
              </w:rPr>
            </w:pPr>
            <w:r w:rsidRPr="004E353A">
              <w:rPr>
                <w:b/>
                <w:sz w:val="19"/>
                <w:szCs w:val="19"/>
              </w:rPr>
              <w:t xml:space="preserve">Homewise Home Improvement </w:t>
            </w:r>
          </w:p>
        </w:tc>
        <w:tc>
          <w:tcPr>
            <w:tcW w:w="2329" w:type="dxa"/>
          </w:tcPr>
          <w:p w:rsidR="007C4E9D" w:rsidRPr="00A73056" w:rsidRDefault="007C4E9D" w:rsidP="007C4E9D">
            <w:pPr>
              <w:widowControl w:val="0"/>
              <w:spacing w:after="0" w:line="240" w:lineRule="auto"/>
              <w:rPr>
                <w:sz w:val="19"/>
                <w:szCs w:val="19"/>
              </w:rPr>
            </w:pPr>
            <w:r w:rsidRPr="00A73056">
              <w:rPr>
                <w:sz w:val="19"/>
                <w:szCs w:val="19"/>
              </w:rPr>
              <w:t>$1</w:t>
            </w:r>
            <w:r>
              <w:rPr>
                <w:sz w:val="19"/>
                <w:szCs w:val="19"/>
              </w:rPr>
              <w:t>5</w:t>
            </w:r>
            <w:r w:rsidRPr="00A73056">
              <w:rPr>
                <w:sz w:val="19"/>
                <w:szCs w:val="19"/>
              </w:rPr>
              <w:t>,000 (entitlement)</w:t>
            </w:r>
          </w:p>
          <w:p w:rsidR="007C4E9D" w:rsidRPr="00E87A10" w:rsidRDefault="007C4E9D" w:rsidP="007C4E9D">
            <w:pPr>
              <w:widowControl w:val="0"/>
              <w:spacing w:after="0"/>
              <w:rPr>
                <w:sz w:val="19"/>
                <w:szCs w:val="19"/>
                <w:highlight w:val="yellow"/>
              </w:rPr>
            </w:pPr>
            <w:r w:rsidRPr="00A73056">
              <w:rPr>
                <w:sz w:val="19"/>
                <w:szCs w:val="19"/>
              </w:rPr>
              <w:t>$</w:t>
            </w:r>
            <w:r>
              <w:rPr>
                <w:sz w:val="19"/>
                <w:szCs w:val="19"/>
              </w:rPr>
              <w:t>84,649</w:t>
            </w:r>
            <w:r w:rsidRPr="00A73056">
              <w:rPr>
                <w:sz w:val="19"/>
                <w:szCs w:val="19"/>
              </w:rPr>
              <w:t xml:space="preserve"> (program income)</w:t>
            </w:r>
          </w:p>
        </w:tc>
        <w:tc>
          <w:tcPr>
            <w:tcW w:w="1800" w:type="dxa"/>
          </w:tcPr>
          <w:p w:rsidR="007C4E9D" w:rsidRPr="00C915DF" w:rsidRDefault="007C4E9D" w:rsidP="007C4E9D">
            <w:pPr>
              <w:widowControl w:val="0"/>
              <w:spacing w:after="0" w:line="240" w:lineRule="auto"/>
              <w:rPr>
                <w:sz w:val="19"/>
                <w:szCs w:val="19"/>
              </w:rPr>
            </w:pPr>
            <w:r w:rsidRPr="00C915DF">
              <w:rPr>
                <w:sz w:val="19"/>
                <w:szCs w:val="19"/>
              </w:rPr>
              <w:t>$8,835.19</w:t>
            </w:r>
          </w:p>
          <w:p w:rsidR="007C4E9D" w:rsidRPr="00E87A10" w:rsidRDefault="007C4E9D" w:rsidP="007C4E9D">
            <w:pPr>
              <w:widowControl w:val="0"/>
              <w:spacing w:after="0" w:line="240" w:lineRule="auto"/>
              <w:rPr>
                <w:sz w:val="19"/>
                <w:szCs w:val="19"/>
                <w:highlight w:val="yellow"/>
              </w:rPr>
            </w:pPr>
            <w:r w:rsidRPr="00C915DF">
              <w:rPr>
                <w:sz w:val="19"/>
                <w:szCs w:val="19"/>
              </w:rPr>
              <w:t>$0</w:t>
            </w:r>
          </w:p>
        </w:tc>
        <w:tc>
          <w:tcPr>
            <w:tcW w:w="1803" w:type="dxa"/>
          </w:tcPr>
          <w:p w:rsidR="007C4E9D" w:rsidRPr="00C915DF" w:rsidRDefault="007C4E9D" w:rsidP="007C4E9D">
            <w:pPr>
              <w:widowControl w:val="0"/>
              <w:spacing w:after="0"/>
              <w:rPr>
                <w:sz w:val="19"/>
                <w:szCs w:val="19"/>
              </w:rPr>
            </w:pPr>
            <w:r>
              <w:rPr>
                <w:sz w:val="19"/>
                <w:szCs w:val="19"/>
              </w:rPr>
              <w:t xml:space="preserve">7 </w:t>
            </w:r>
            <w:r w:rsidRPr="00C915DF">
              <w:rPr>
                <w:sz w:val="19"/>
                <w:szCs w:val="19"/>
              </w:rPr>
              <w:t>households</w:t>
            </w:r>
          </w:p>
        </w:tc>
        <w:tc>
          <w:tcPr>
            <w:tcW w:w="1808" w:type="dxa"/>
          </w:tcPr>
          <w:p w:rsidR="007C4E9D" w:rsidRPr="00C915DF" w:rsidRDefault="007C4E9D" w:rsidP="007C4E9D">
            <w:pPr>
              <w:widowControl w:val="0"/>
              <w:spacing w:after="0"/>
              <w:rPr>
                <w:sz w:val="19"/>
                <w:szCs w:val="19"/>
              </w:rPr>
            </w:pPr>
            <w:r>
              <w:rPr>
                <w:sz w:val="19"/>
                <w:szCs w:val="19"/>
              </w:rPr>
              <w:t>9</w:t>
            </w:r>
            <w:r w:rsidRPr="00C915DF">
              <w:rPr>
                <w:sz w:val="19"/>
                <w:szCs w:val="19"/>
              </w:rPr>
              <w:t xml:space="preserve"> households</w:t>
            </w:r>
            <w:r w:rsidRPr="00C915DF">
              <w:rPr>
                <w:color w:val="FF0000"/>
                <w:sz w:val="19"/>
                <w:szCs w:val="19"/>
              </w:rPr>
              <w:t xml:space="preserve"> </w:t>
            </w:r>
          </w:p>
        </w:tc>
      </w:tr>
      <w:tr w:rsidR="007C4E9D" w:rsidRPr="0029379A" w:rsidTr="007C4E9D">
        <w:trPr>
          <w:trHeight w:val="623"/>
        </w:trPr>
        <w:tc>
          <w:tcPr>
            <w:tcW w:w="9534" w:type="dxa"/>
            <w:gridSpan w:val="5"/>
          </w:tcPr>
          <w:p w:rsidR="007C4E9D" w:rsidRPr="0029379A" w:rsidRDefault="007C4E9D" w:rsidP="007C4E9D">
            <w:pPr>
              <w:widowControl w:val="0"/>
              <w:spacing w:before="100" w:beforeAutospacing="1" w:after="100" w:afterAutospacing="1"/>
              <w:rPr>
                <w:sz w:val="19"/>
                <w:szCs w:val="19"/>
              </w:rPr>
            </w:pPr>
            <w:r w:rsidRPr="00985CCD">
              <w:rPr>
                <w:sz w:val="19"/>
                <w:szCs w:val="19"/>
              </w:rPr>
              <w:t>Narrative:</w:t>
            </w:r>
            <w:r w:rsidRPr="0029379A">
              <w:rPr>
                <w:sz w:val="19"/>
                <w:szCs w:val="19"/>
              </w:rPr>
              <w:t xml:space="preserve">  </w:t>
            </w:r>
            <w:r w:rsidRPr="00F8367F">
              <w:rPr>
                <w:sz w:val="19"/>
                <w:szCs w:val="19"/>
              </w:rPr>
              <w:t xml:space="preserve">Funding provided home improvement loans to homeowners below 80% AMI; </w:t>
            </w:r>
            <w:r>
              <w:rPr>
                <w:sz w:val="19"/>
                <w:szCs w:val="19"/>
              </w:rPr>
              <w:t xml:space="preserve">excess program income will be re appropriated in PY 2017. </w:t>
            </w:r>
            <w:r w:rsidRPr="00F8367F">
              <w:rPr>
                <w:sz w:val="19"/>
                <w:szCs w:val="19"/>
              </w:rPr>
              <w:t>Average</w:t>
            </w:r>
            <w:r>
              <w:rPr>
                <w:sz w:val="19"/>
                <w:szCs w:val="19"/>
              </w:rPr>
              <w:t xml:space="preserve"> loan of $16,265 per household. Of the total served, 2 were female-headed households.</w:t>
            </w:r>
          </w:p>
        </w:tc>
      </w:tr>
      <w:tr w:rsidR="007C4E9D" w:rsidRPr="00E87A10" w:rsidTr="007C4E9D">
        <w:trPr>
          <w:trHeight w:val="368"/>
        </w:trPr>
        <w:tc>
          <w:tcPr>
            <w:tcW w:w="1794" w:type="dxa"/>
          </w:tcPr>
          <w:p w:rsidR="007C4E9D" w:rsidRPr="00B20458" w:rsidRDefault="007C4E9D" w:rsidP="007C4E9D">
            <w:pPr>
              <w:widowControl w:val="0"/>
              <w:spacing w:before="100" w:beforeAutospacing="1" w:after="100" w:afterAutospacing="1"/>
              <w:rPr>
                <w:b/>
                <w:sz w:val="19"/>
                <w:szCs w:val="19"/>
              </w:rPr>
            </w:pPr>
            <w:r w:rsidRPr="00B20458">
              <w:rPr>
                <w:b/>
                <w:sz w:val="19"/>
                <w:szCs w:val="19"/>
              </w:rPr>
              <w:t>Homewise DPA</w:t>
            </w:r>
          </w:p>
        </w:tc>
        <w:tc>
          <w:tcPr>
            <w:tcW w:w="2329" w:type="dxa"/>
          </w:tcPr>
          <w:p w:rsidR="007C4E9D" w:rsidRPr="00A73056" w:rsidRDefault="007C4E9D" w:rsidP="007C4E9D">
            <w:pPr>
              <w:widowControl w:val="0"/>
              <w:spacing w:before="100" w:beforeAutospacing="1" w:after="100" w:afterAutospacing="1"/>
              <w:rPr>
                <w:sz w:val="19"/>
                <w:szCs w:val="19"/>
              </w:rPr>
            </w:pPr>
            <w:r w:rsidRPr="00A73056">
              <w:rPr>
                <w:sz w:val="19"/>
                <w:szCs w:val="19"/>
              </w:rPr>
              <w:t>$138,278.74</w:t>
            </w:r>
          </w:p>
        </w:tc>
        <w:tc>
          <w:tcPr>
            <w:tcW w:w="1800" w:type="dxa"/>
          </w:tcPr>
          <w:p w:rsidR="007C4E9D" w:rsidRPr="00A73056" w:rsidRDefault="007C4E9D" w:rsidP="007C4E9D">
            <w:pPr>
              <w:widowControl w:val="0"/>
              <w:spacing w:before="100" w:beforeAutospacing="1" w:after="100" w:afterAutospacing="1"/>
              <w:rPr>
                <w:sz w:val="19"/>
                <w:szCs w:val="19"/>
              </w:rPr>
            </w:pPr>
            <w:r w:rsidRPr="00A73056">
              <w:rPr>
                <w:sz w:val="19"/>
                <w:szCs w:val="19"/>
              </w:rPr>
              <w:t>$0</w:t>
            </w:r>
          </w:p>
        </w:tc>
        <w:tc>
          <w:tcPr>
            <w:tcW w:w="1803" w:type="dxa"/>
          </w:tcPr>
          <w:p w:rsidR="007C4E9D" w:rsidRPr="00A73056" w:rsidRDefault="007C4E9D" w:rsidP="007C4E9D">
            <w:pPr>
              <w:widowControl w:val="0"/>
              <w:spacing w:before="100" w:beforeAutospacing="1" w:after="100" w:afterAutospacing="1"/>
              <w:rPr>
                <w:sz w:val="19"/>
                <w:szCs w:val="19"/>
              </w:rPr>
            </w:pPr>
            <w:r w:rsidRPr="00A73056">
              <w:rPr>
                <w:sz w:val="19"/>
                <w:szCs w:val="19"/>
              </w:rPr>
              <w:t>6 DPA loans</w:t>
            </w:r>
          </w:p>
        </w:tc>
        <w:tc>
          <w:tcPr>
            <w:tcW w:w="1808" w:type="dxa"/>
          </w:tcPr>
          <w:p w:rsidR="007C4E9D" w:rsidRPr="00A73056" w:rsidRDefault="007C4E9D" w:rsidP="007C4E9D">
            <w:pPr>
              <w:widowControl w:val="0"/>
              <w:spacing w:before="100" w:beforeAutospacing="1" w:after="100" w:afterAutospacing="1"/>
              <w:rPr>
                <w:sz w:val="19"/>
                <w:szCs w:val="19"/>
              </w:rPr>
            </w:pPr>
            <w:r w:rsidRPr="00A73056">
              <w:rPr>
                <w:sz w:val="19"/>
                <w:szCs w:val="19"/>
              </w:rPr>
              <w:t>21  DPA loans</w:t>
            </w:r>
          </w:p>
        </w:tc>
      </w:tr>
      <w:tr w:rsidR="007C4E9D" w:rsidRPr="0029379A" w:rsidTr="007C4E9D">
        <w:trPr>
          <w:trHeight w:val="368"/>
        </w:trPr>
        <w:tc>
          <w:tcPr>
            <w:tcW w:w="9534" w:type="dxa"/>
            <w:gridSpan w:val="5"/>
          </w:tcPr>
          <w:p w:rsidR="007C4E9D" w:rsidRPr="0029379A" w:rsidRDefault="007C4E9D" w:rsidP="007C4E9D">
            <w:pPr>
              <w:widowControl w:val="0"/>
              <w:spacing w:before="100" w:beforeAutospacing="1" w:after="100" w:afterAutospacing="1"/>
              <w:rPr>
                <w:sz w:val="19"/>
                <w:szCs w:val="19"/>
              </w:rPr>
            </w:pPr>
            <w:r w:rsidRPr="00985CCD">
              <w:rPr>
                <w:sz w:val="19"/>
                <w:szCs w:val="19"/>
              </w:rPr>
              <w:t>Narrative:</w:t>
            </w:r>
            <w:r w:rsidRPr="0029379A">
              <w:rPr>
                <w:sz w:val="19"/>
                <w:szCs w:val="19"/>
              </w:rPr>
              <w:t xml:space="preserve">  </w:t>
            </w:r>
            <w:r>
              <w:rPr>
                <w:sz w:val="19"/>
                <w:szCs w:val="19"/>
              </w:rPr>
              <w:t>Funding supported DPA</w:t>
            </w:r>
            <w:r w:rsidRPr="0029379A">
              <w:rPr>
                <w:sz w:val="19"/>
                <w:szCs w:val="19"/>
              </w:rPr>
              <w:t xml:space="preserve"> loans of up </w:t>
            </w:r>
            <w:r w:rsidRPr="00A73056">
              <w:rPr>
                <w:sz w:val="19"/>
                <w:szCs w:val="19"/>
              </w:rPr>
              <w:t>to $20,000</w:t>
            </w:r>
            <w:r w:rsidRPr="0029379A">
              <w:rPr>
                <w:sz w:val="19"/>
                <w:szCs w:val="19"/>
              </w:rPr>
              <w:t xml:space="preserve"> for </w:t>
            </w:r>
            <w:r>
              <w:rPr>
                <w:sz w:val="19"/>
                <w:szCs w:val="19"/>
              </w:rPr>
              <w:t>6 first-time</w:t>
            </w:r>
            <w:r w:rsidRPr="0029379A">
              <w:rPr>
                <w:sz w:val="19"/>
                <w:szCs w:val="19"/>
              </w:rPr>
              <w:t xml:space="preserve"> home buyers; </w:t>
            </w:r>
            <w:r>
              <w:rPr>
                <w:sz w:val="19"/>
                <w:szCs w:val="19"/>
              </w:rPr>
              <w:t>an additional</w:t>
            </w:r>
            <w:r w:rsidRPr="0029379A">
              <w:rPr>
                <w:sz w:val="19"/>
                <w:szCs w:val="19"/>
              </w:rPr>
              <w:t xml:space="preserve"> </w:t>
            </w:r>
            <w:r>
              <w:rPr>
                <w:sz w:val="19"/>
                <w:szCs w:val="19"/>
              </w:rPr>
              <w:t xml:space="preserve">14 </w:t>
            </w:r>
            <w:r w:rsidRPr="0029379A">
              <w:rPr>
                <w:sz w:val="19"/>
                <w:szCs w:val="19"/>
              </w:rPr>
              <w:t>homes were funded with Program Income that was generated and utilized for DPA loans</w:t>
            </w:r>
            <w:r>
              <w:rPr>
                <w:sz w:val="19"/>
                <w:szCs w:val="19"/>
              </w:rPr>
              <w:t>. Average loan of $16,123 per household.  Of the total households served, 3 were female-headed.</w:t>
            </w:r>
          </w:p>
        </w:tc>
      </w:tr>
      <w:tr w:rsidR="007C4E9D" w:rsidRPr="00E87A10" w:rsidTr="007C4E9D">
        <w:trPr>
          <w:trHeight w:val="368"/>
        </w:trPr>
        <w:tc>
          <w:tcPr>
            <w:tcW w:w="1794" w:type="dxa"/>
          </w:tcPr>
          <w:p w:rsidR="007C4E9D" w:rsidRPr="00E87A10" w:rsidRDefault="007C4E9D" w:rsidP="007C4E9D">
            <w:pPr>
              <w:widowControl w:val="0"/>
              <w:spacing w:after="0"/>
              <w:rPr>
                <w:b/>
                <w:sz w:val="19"/>
                <w:szCs w:val="19"/>
              </w:rPr>
            </w:pPr>
            <w:r w:rsidRPr="00E87A10">
              <w:rPr>
                <w:b/>
                <w:sz w:val="19"/>
                <w:szCs w:val="19"/>
              </w:rPr>
              <w:t>The Housing Trust DPA</w:t>
            </w:r>
          </w:p>
        </w:tc>
        <w:tc>
          <w:tcPr>
            <w:tcW w:w="2329" w:type="dxa"/>
          </w:tcPr>
          <w:p w:rsidR="007C4E9D" w:rsidRPr="00A73056" w:rsidRDefault="007C4E9D" w:rsidP="007C4E9D">
            <w:pPr>
              <w:widowControl w:val="0"/>
              <w:spacing w:after="0" w:line="240" w:lineRule="auto"/>
              <w:rPr>
                <w:sz w:val="19"/>
                <w:szCs w:val="19"/>
              </w:rPr>
            </w:pPr>
            <w:r w:rsidRPr="00A73056">
              <w:rPr>
                <w:sz w:val="19"/>
                <w:szCs w:val="19"/>
              </w:rPr>
              <w:t>$120,000 (entitlement)</w:t>
            </w:r>
          </w:p>
          <w:p w:rsidR="007C4E9D" w:rsidRPr="00A73056" w:rsidRDefault="007C4E9D" w:rsidP="007C4E9D">
            <w:pPr>
              <w:widowControl w:val="0"/>
              <w:spacing w:after="0" w:line="240" w:lineRule="auto"/>
              <w:rPr>
                <w:sz w:val="19"/>
                <w:szCs w:val="19"/>
              </w:rPr>
            </w:pPr>
            <w:r w:rsidRPr="00A73056">
              <w:rPr>
                <w:sz w:val="19"/>
                <w:szCs w:val="19"/>
              </w:rPr>
              <w:t>$29,000 (program income)</w:t>
            </w:r>
          </w:p>
        </w:tc>
        <w:tc>
          <w:tcPr>
            <w:tcW w:w="1800" w:type="dxa"/>
          </w:tcPr>
          <w:p w:rsidR="007C4E9D" w:rsidRPr="00C915DF" w:rsidRDefault="007C4E9D" w:rsidP="007C4E9D">
            <w:pPr>
              <w:widowControl w:val="0"/>
              <w:spacing w:after="0" w:line="240" w:lineRule="auto"/>
              <w:rPr>
                <w:sz w:val="19"/>
                <w:szCs w:val="19"/>
              </w:rPr>
            </w:pPr>
            <w:r w:rsidRPr="00C915DF">
              <w:rPr>
                <w:sz w:val="19"/>
                <w:szCs w:val="19"/>
              </w:rPr>
              <w:t>$</w:t>
            </w:r>
            <w:r>
              <w:rPr>
                <w:sz w:val="19"/>
                <w:szCs w:val="19"/>
              </w:rPr>
              <w:t>0</w:t>
            </w:r>
          </w:p>
          <w:p w:rsidR="007C4E9D" w:rsidRPr="00A73056" w:rsidRDefault="007C4E9D" w:rsidP="007C4E9D">
            <w:pPr>
              <w:widowControl w:val="0"/>
              <w:spacing w:after="0"/>
              <w:rPr>
                <w:sz w:val="19"/>
                <w:szCs w:val="19"/>
              </w:rPr>
            </w:pPr>
            <w:r w:rsidRPr="00C915DF">
              <w:rPr>
                <w:sz w:val="19"/>
                <w:szCs w:val="19"/>
              </w:rPr>
              <w:t>$0</w:t>
            </w:r>
          </w:p>
        </w:tc>
        <w:tc>
          <w:tcPr>
            <w:tcW w:w="1803" w:type="dxa"/>
          </w:tcPr>
          <w:p w:rsidR="007C4E9D" w:rsidRPr="00A73056" w:rsidRDefault="007C4E9D" w:rsidP="007C4E9D">
            <w:pPr>
              <w:widowControl w:val="0"/>
              <w:spacing w:after="0"/>
              <w:rPr>
                <w:sz w:val="19"/>
                <w:szCs w:val="19"/>
              </w:rPr>
            </w:pPr>
            <w:r w:rsidRPr="00A73056">
              <w:rPr>
                <w:sz w:val="19"/>
                <w:szCs w:val="19"/>
              </w:rPr>
              <w:t>5 – 7 DPA loans</w:t>
            </w:r>
          </w:p>
        </w:tc>
        <w:tc>
          <w:tcPr>
            <w:tcW w:w="1808" w:type="dxa"/>
          </w:tcPr>
          <w:p w:rsidR="007C4E9D" w:rsidRPr="00A73056" w:rsidRDefault="007C4E9D" w:rsidP="007C4E9D">
            <w:pPr>
              <w:widowControl w:val="0"/>
              <w:spacing w:after="0"/>
              <w:rPr>
                <w:sz w:val="19"/>
                <w:szCs w:val="19"/>
              </w:rPr>
            </w:pPr>
            <w:r>
              <w:rPr>
                <w:sz w:val="19"/>
                <w:szCs w:val="19"/>
              </w:rPr>
              <w:t>10 DPA</w:t>
            </w:r>
            <w:r w:rsidRPr="00A73056">
              <w:rPr>
                <w:sz w:val="19"/>
                <w:szCs w:val="19"/>
              </w:rPr>
              <w:t xml:space="preserve"> loans</w:t>
            </w:r>
          </w:p>
        </w:tc>
      </w:tr>
      <w:tr w:rsidR="007C4E9D" w:rsidRPr="0029379A" w:rsidTr="007C4E9D">
        <w:trPr>
          <w:trHeight w:val="260"/>
        </w:trPr>
        <w:tc>
          <w:tcPr>
            <w:tcW w:w="9534" w:type="dxa"/>
            <w:gridSpan w:val="5"/>
          </w:tcPr>
          <w:p w:rsidR="007C4E9D" w:rsidRPr="0029379A" w:rsidRDefault="007C4E9D" w:rsidP="007C4E9D">
            <w:pPr>
              <w:widowControl w:val="0"/>
              <w:spacing w:before="100" w:beforeAutospacing="1" w:after="100" w:afterAutospacing="1"/>
              <w:rPr>
                <w:sz w:val="19"/>
                <w:szCs w:val="19"/>
              </w:rPr>
            </w:pPr>
            <w:r w:rsidRPr="00E87A10">
              <w:rPr>
                <w:sz w:val="19"/>
                <w:szCs w:val="19"/>
              </w:rPr>
              <w:t xml:space="preserve">Narrative:  </w:t>
            </w:r>
            <w:r>
              <w:rPr>
                <w:sz w:val="19"/>
                <w:szCs w:val="19"/>
              </w:rPr>
              <w:t xml:space="preserve">Ten loans were provided with entitlement funding (7) and three with program income. </w:t>
            </w:r>
            <w:r w:rsidRPr="00E87A10">
              <w:rPr>
                <w:sz w:val="19"/>
                <w:szCs w:val="19"/>
              </w:rPr>
              <w:t>Average DPA loan was $13,786 per household. Of the total households served, 3 were female-headed.</w:t>
            </w:r>
          </w:p>
        </w:tc>
      </w:tr>
      <w:tr w:rsidR="007C4E9D" w:rsidRPr="0029379A" w:rsidTr="007C4E9D">
        <w:trPr>
          <w:trHeight w:val="530"/>
        </w:trPr>
        <w:tc>
          <w:tcPr>
            <w:tcW w:w="1794" w:type="dxa"/>
          </w:tcPr>
          <w:p w:rsidR="007C4E9D" w:rsidRPr="004E353A" w:rsidRDefault="007C4E9D" w:rsidP="007C4E9D">
            <w:pPr>
              <w:widowControl w:val="0"/>
              <w:spacing w:before="100" w:beforeAutospacing="1" w:after="100" w:afterAutospacing="1"/>
              <w:rPr>
                <w:b/>
                <w:sz w:val="19"/>
                <w:szCs w:val="19"/>
              </w:rPr>
            </w:pPr>
            <w:r>
              <w:rPr>
                <w:b/>
                <w:sz w:val="19"/>
                <w:szCs w:val="19"/>
              </w:rPr>
              <w:t>St Elizabeth Casa Familia Shelter Remodel</w:t>
            </w:r>
          </w:p>
        </w:tc>
        <w:tc>
          <w:tcPr>
            <w:tcW w:w="2329" w:type="dxa"/>
          </w:tcPr>
          <w:p w:rsidR="007C4E9D" w:rsidRPr="003850F5" w:rsidRDefault="007C4E9D" w:rsidP="007C4E9D">
            <w:pPr>
              <w:widowControl w:val="0"/>
              <w:spacing w:before="100" w:beforeAutospacing="1" w:after="100" w:afterAutospacing="1"/>
              <w:rPr>
                <w:sz w:val="19"/>
                <w:szCs w:val="19"/>
              </w:rPr>
            </w:pPr>
            <w:r w:rsidRPr="003850F5">
              <w:rPr>
                <w:sz w:val="19"/>
                <w:szCs w:val="19"/>
              </w:rPr>
              <w:t>$50,000</w:t>
            </w:r>
          </w:p>
        </w:tc>
        <w:tc>
          <w:tcPr>
            <w:tcW w:w="1800" w:type="dxa"/>
          </w:tcPr>
          <w:p w:rsidR="007C4E9D" w:rsidRPr="003850F5" w:rsidRDefault="007C4E9D" w:rsidP="007C4E9D">
            <w:pPr>
              <w:widowControl w:val="0"/>
              <w:spacing w:before="100" w:beforeAutospacing="1" w:after="100" w:afterAutospacing="1"/>
              <w:rPr>
                <w:sz w:val="19"/>
                <w:szCs w:val="19"/>
              </w:rPr>
            </w:pPr>
            <w:r w:rsidRPr="003850F5">
              <w:rPr>
                <w:sz w:val="19"/>
                <w:szCs w:val="19"/>
              </w:rPr>
              <w:t>$27,840</w:t>
            </w:r>
          </w:p>
        </w:tc>
        <w:tc>
          <w:tcPr>
            <w:tcW w:w="1803" w:type="dxa"/>
          </w:tcPr>
          <w:p w:rsidR="007C4E9D" w:rsidRPr="003850F5" w:rsidRDefault="007C4E9D" w:rsidP="007C4E9D">
            <w:pPr>
              <w:widowControl w:val="0"/>
              <w:spacing w:before="100" w:beforeAutospacing="1" w:after="100" w:afterAutospacing="1"/>
              <w:rPr>
                <w:sz w:val="19"/>
                <w:szCs w:val="19"/>
              </w:rPr>
            </w:pPr>
            <w:r w:rsidRPr="003850F5">
              <w:rPr>
                <w:sz w:val="19"/>
                <w:szCs w:val="19"/>
              </w:rPr>
              <w:t>275</w:t>
            </w:r>
          </w:p>
        </w:tc>
        <w:tc>
          <w:tcPr>
            <w:tcW w:w="1808" w:type="dxa"/>
          </w:tcPr>
          <w:p w:rsidR="007C4E9D" w:rsidRPr="003850F5" w:rsidRDefault="007C4E9D" w:rsidP="007C4E9D">
            <w:pPr>
              <w:widowControl w:val="0"/>
              <w:spacing w:before="100" w:beforeAutospacing="1" w:after="100" w:afterAutospacing="1"/>
              <w:rPr>
                <w:sz w:val="19"/>
                <w:szCs w:val="19"/>
              </w:rPr>
            </w:pPr>
            <w:r w:rsidRPr="003850F5">
              <w:rPr>
                <w:sz w:val="19"/>
                <w:szCs w:val="19"/>
              </w:rPr>
              <w:t>238</w:t>
            </w:r>
          </w:p>
        </w:tc>
      </w:tr>
      <w:tr w:rsidR="007C4E9D" w:rsidRPr="0029379A" w:rsidTr="007C4E9D">
        <w:trPr>
          <w:trHeight w:val="530"/>
        </w:trPr>
        <w:tc>
          <w:tcPr>
            <w:tcW w:w="9534" w:type="dxa"/>
            <w:gridSpan w:val="5"/>
          </w:tcPr>
          <w:p w:rsidR="007C4E9D" w:rsidRPr="003850F5" w:rsidRDefault="007C4E9D" w:rsidP="007C4E9D">
            <w:pPr>
              <w:widowControl w:val="0"/>
              <w:spacing w:before="100" w:beforeAutospacing="1" w:after="100" w:afterAutospacing="1"/>
              <w:rPr>
                <w:sz w:val="19"/>
                <w:szCs w:val="19"/>
              </w:rPr>
            </w:pPr>
            <w:r>
              <w:rPr>
                <w:rFonts w:asciiTheme="minorHAnsi" w:hAnsiTheme="minorHAnsi"/>
                <w:sz w:val="19"/>
                <w:szCs w:val="19"/>
              </w:rPr>
              <w:t>Funds were allocated to e</w:t>
            </w:r>
            <w:r w:rsidRPr="003850F5">
              <w:rPr>
                <w:rFonts w:asciiTheme="minorHAnsi" w:hAnsiTheme="minorHAnsi"/>
                <w:sz w:val="19"/>
                <w:szCs w:val="19"/>
              </w:rPr>
              <w:t>xpand and remodel the front office space of the family emergency shelter for homeless single women and families; secure the residents’ living/sleeping area; reconfigure staff offices for client consultation privacy</w:t>
            </w:r>
            <w:r>
              <w:rPr>
                <w:rFonts w:asciiTheme="minorHAnsi" w:hAnsiTheme="minorHAnsi"/>
                <w:sz w:val="19"/>
                <w:szCs w:val="19"/>
              </w:rPr>
              <w:t>. Unanticipated requirements from the City’s code enforcement division delayed the start of construction (additional permits were needed which required approval from one of the City’s land  use boards) and added costs to the project as modern code requires the building be outfitted with sprinklers for fire safety. In July 2017, the Community Development Commission allocated an additional $10,000 to cover the sprinkler cost, extending the project into the current year.</w:t>
            </w:r>
          </w:p>
        </w:tc>
      </w:tr>
      <w:tr w:rsidR="007C4E9D" w:rsidRPr="0029379A" w:rsidTr="007C4E9D">
        <w:trPr>
          <w:trHeight w:val="530"/>
        </w:trPr>
        <w:tc>
          <w:tcPr>
            <w:tcW w:w="1794" w:type="dxa"/>
          </w:tcPr>
          <w:p w:rsidR="007C4E9D" w:rsidRPr="004E353A" w:rsidRDefault="007C4E9D" w:rsidP="007C4E9D">
            <w:pPr>
              <w:widowControl w:val="0"/>
              <w:spacing w:before="100" w:beforeAutospacing="1" w:after="100" w:afterAutospacing="1"/>
              <w:rPr>
                <w:b/>
                <w:sz w:val="19"/>
                <w:szCs w:val="19"/>
              </w:rPr>
            </w:pPr>
            <w:r>
              <w:rPr>
                <w:b/>
                <w:sz w:val="19"/>
                <w:szCs w:val="19"/>
              </w:rPr>
              <w:t>Legal Aid Foreclosure Counselling</w:t>
            </w:r>
          </w:p>
        </w:tc>
        <w:tc>
          <w:tcPr>
            <w:tcW w:w="2329" w:type="dxa"/>
          </w:tcPr>
          <w:p w:rsidR="007C4E9D" w:rsidRPr="003850F5" w:rsidRDefault="007C4E9D" w:rsidP="007C4E9D">
            <w:pPr>
              <w:widowControl w:val="0"/>
              <w:spacing w:before="100" w:beforeAutospacing="1" w:after="100" w:afterAutospacing="1"/>
              <w:rPr>
                <w:sz w:val="19"/>
                <w:szCs w:val="19"/>
              </w:rPr>
            </w:pPr>
            <w:r>
              <w:rPr>
                <w:sz w:val="19"/>
                <w:szCs w:val="19"/>
              </w:rPr>
              <w:t>$10,000</w:t>
            </w:r>
          </w:p>
        </w:tc>
        <w:tc>
          <w:tcPr>
            <w:tcW w:w="1800" w:type="dxa"/>
          </w:tcPr>
          <w:p w:rsidR="007C4E9D" w:rsidRPr="003850F5" w:rsidRDefault="007C4E9D" w:rsidP="007C4E9D">
            <w:pPr>
              <w:widowControl w:val="0"/>
              <w:spacing w:before="100" w:beforeAutospacing="1" w:after="100" w:afterAutospacing="1"/>
              <w:rPr>
                <w:sz w:val="19"/>
                <w:szCs w:val="19"/>
              </w:rPr>
            </w:pPr>
            <w:r>
              <w:rPr>
                <w:sz w:val="19"/>
                <w:szCs w:val="19"/>
              </w:rPr>
              <w:t>$7,059</w:t>
            </w:r>
          </w:p>
        </w:tc>
        <w:tc>
          <w:tcPr>
            <w:tcW w:w="1803" w:type="dxa"/>
          </w:tcPr>
          <w:p w:rsidR="007C4E9D" w:rsidRPr="003850F5" w:rsidRDefault="007C4E9D" w:rsidP="007C4E9D">
            <w:pPr>
              <w:widowControl w:val="0"/>
              <w:spacing w:before="100" w:beforeAutospacing="1" w:after="100" w:afterAutospacing="1"/>
              <w:rPr>
                <w:sz w:val="19"/>
                <w:szCs w:val="19"/>
              </w:rPr>
            </w:pPr>
            <w:r>
              <w:rPr>
                <w:sz w:val="19"/>
                <w:szCs w:val="19"/>
              </w:rPr>
              <w:t>22</w:t>
            </w:r>
          </w:p>
        </w:tc>
        <w:tc>
          <w:tcPr>
            <w:tcW w:w="1808" w:type="dxa"/>
          </w:tcPr>
          <w:p w:rsidR="007C4E9D" w:rsidRPr="003850F5" w:rsidRDefault="007C4E9D" w:rsidP="007C4E9D">
            <w:pPr>
              <w:widowControl w:val="0"/>
              <w:spacing w:before="100" w:beforeAutospacing="1" w:after="100" w:afterAutospacing="1"/>
              <w:rPr>
                <w:sz w:val="19"/>
                <w:szCs w:val="19"/>
              </w:rPr>
            </w:pPr>
            <w:r>
              <w:rPr>
                <w:sz w:val="19"/>
                <w:szCs w:val="19"/>
              </w:rPr>
              <w:t>6</w:t>
            </w:r>
          </w:p>
        </w:tc>
      </w:tr>
      <w:tr w:rsidR="007C4E9D" w:rsidRPr="0029379A" w:rsidTr="007C4E9D">
        <w:trPr>
          <w:trHeight w:val="274"/>
        </w:trPr>
        <w:tc>
          <w:tcPr>
            <w:tcW w:w="9534" w:type="dxa"/>
            <w:gridSpan w:val="5"/>
          </w:tcPr>
          <w:p w:rsidR="007C4E9D" w:rsidRPr="0029379A" w:rsidRDefault="007C4E9D" w:rsidP="007C4E9D">
            <w:pPr>
              <w:widowControl w:val="0"/>
              <w:spacing w:before="100" w:beforeAutospacing="1" w:after="100" w:afterAutospacing="1"/>
              <w:rPr>
                <w:sz w:val="19"/>
                <w:szCs w:val="19"/>
              </w:rPr>
            </w:pPr>
            <w:r>
              <w:rPr>
                <w:sz w:val="19"/>
                <w:szCs w:val="19"/>
              </w:rPr>
              <w:t>The project proposed to assist 22 households in active foreclosure; only 6 were assisted, possibly a reflection of Santa Fe’s recovering economy and housing market.</w:t>
            </w:r>
          </w:p>
        </w:tc>
      </w:tr>
    </w:tbl>
    <w:p w:rsidR="00B961E8" w:rsidRDefault="00B961E8" w:rsidP="00FA4E67">
      <w:pPr>
        <w:widowControl w:val="0"/>
        <w:spacing w:before="100" w:beforeAutospacing="1" w:after="100" w:afterAutospacing="1"/>
        <w:rPr>
          <w:i/>
          <w:szCs w:val="24"/>
        </w:rPr>
      </w:pPr>
    </w:p>
    <w:p w:rsidR="003850F5" w:rsidRDefault="003850F5" w:rsidP="00FA4E67">
      <w:pPr>
        <w:widowControl w:val="0"/>
        <w:spacing w:before="100" w:beforeAutospacing="1" w:after="100" w:afterAutospacing="1"/>
        <w:rPr>
          <w:i/>
          <w:szCs w:val="24"/>
        </w:rPr>
      </w:pPr>
    </w:p>
    <w:p w:rsidR="003850F5" w:rsidRDefault="003850F5" w:rsidP="003850F5">
      <w:pPr>
        <w:widowControl w:val="0"/>
        <w:spacing w:after="0" w:line="240" w:lineRule="auto"/>
        <w:rPr>
          <w:rFonts w:asciiTheme="minorHAnsi" w:hAnsiTheme="minorHAnsi"/>
          <w:sz w:val="19"/>
          <w:szCs w:val="19"/>
        </w:rPr>
      </w:pPr>
    </w:p>
    <w:p w:rsidR="003850F5" w:rsidRPr="003850F5" w:rsidRDefault="003850F5" w:rsidP="003850F5">
      <w:pPr>
        <w:widowControl w:val="0"/>
        <w:spacing w:after="0" w:line="240" w:lineRule="auto"/>
        <w:rPr>
          <w:rFonts w:asciiTheme="minorHAnsi" w:hAnsiTheme="minorHAnsi"/>
          <w:sz w:val="19"/>
          <w:szCs w:val="19"/>
        </w:rPr>
        <w:sectPr w:rsidR="003850F5" w:rsidRPr="003850F5" w:rsidSect="00C13BA1">
          <w:footerReference w:type="default" r:id="rId12"/>
          <w:pgSz w:w="12240" w:h="15840"/>
          <w:pgMar w:top="1530" w:right="1440" w:bottom="1440" w:left="1440" w:header="720" w:footer="720" w:gutter="0"/>
          <w:pgNumType w:start="1"/>
          <w:cols w:space="720"/>
          <w:docGrid w:linePitch="360"/>
        </w:sectPr>
      </w:pPr>
    </w:p>
    <w:p w:rsidR="00667C28" w:rsidRDefault="007137DF">
      <w:pPr>
        <w:keepNext/>
        <w:widowControl w:val="0"/>
        <w:spacing w:after="0" w:line="240" w:lineRule="auto"/>
        <w:rPr>
          <w:b/>
          <w:sz w:val="24"/>
          <w:szCs w:val="24"/>
        </w:rPr>
      </w:pPr>
      <w:r>
        <w:rPr>
          <w:b/>
          <w:sz w:val="24"/>
          <w:szCs w:val="24"/>
        </w:rPr>
        <w:lastRenderedPageBreak/>
        <w:t>Comparison of the proposed versus actual outcomes for each outcome measure submitted with the consolidated plan and explain, if applicable, why progress was not made toward meeting goals and objectives.  91.520(g)</w:t>
      </w:r>
    </w:p>
    <w:p w:rsidR="00667C28" w:rsidRDefault="007137DF">
      <w:pPr>
        <w:keepNext/>
        <w:widowControl w:val="0"/>
        <w:spacing w:after="0" w:line="240" w:lineRule="auto"/>
      </w:pPr>
      <w:r>
        <w:t>Categories, priority levels, funding sources and amounts, outcomes/objectives, goal outcome indicators, units of measure, targets, actual outcomes/outputs, and percentage completed for each of the grantee’s program year goals.</w:t>
      </w:r>
    </w:p>
    <w:p w:rsidR="00B85C56" w:rsidRDefault="00B85C56">
      <w:pPr>
        <w:keepNext/>
        <w:widowControl w:val="0"/>
        <w:spacing w:after="0" w:line="240" w:lineRule="auto"/>
      </w:pPr>
    </w:p>
    <w:p w:rsidR="00B85C56" w:rsidRDefault="00B85C56">
      <w:pPr>
        <w:keepNext/>
        <w:widowControl w:val="0"/>
        <w:spacing w:after="0" w:line="240" w:lineRule="auto"/>
        <w:rPr>
          <w:b/>
          <w:i/>
          <w:sz w:val="20"/>
          <w:szCs w:val="20"/>
        </w:rPr>
      </w:pPr>
    </w:p>
    <w:p w:rsidR="00287A50" w:rsidRPr="00887488" w:rsidRDefault="00287A50" w:rsidP="00287A50">
      <w:pPr>
        <w:rPr>
          <w:b/>
          <w:i/>
          <w:sz w:val="20"/>
          <w:szCs w:val="20"/>
        </w:rPr>
      </w:pPr>
      <w:r w:rsidRPr="00287A50">
        <w:rPr>
          <w:b/>
          <w:sz w:val="20"/>
          <w:szCs w:val="20"/>
        </w:rPr>
        <w:t>Table 2:</w:t>
      </w:r>
      <w:r w:rsidRPr="00887488">
        <w:rPr>
          <w:b/>
          <w:i/>
          <w:sz w:val="20"/>
          <w:szCs w:val="20"/>
        </w:rPr>
        <w:t xml:space="preserve">  </w:t>
      </w:r>
      <w:r w:rsidRPr="00887488">
        <w:rPr>
          <w:b/>
          <w:sz w:val="20"/>
          <w:szCs w:val="20"/>
        </w:rPr>
        <w:t>Goals and Outcomes</w:t>
      </w:r>
    </w:p>
    <w:tbl>
      <w:tblPr>
        <w:tblStyle w:val="TableGrid"/>
        <w:tblW w:w="13229" w:type="dxa"/>
        <w:tblInd w:w="-432" w:type="dxa"/>
        <w:tblLayout w:type="fixed"/>
        <w:tblLook w:val="04A0" w:firstRow="1" w:lastRow="0" w:firstColumn="1" w:lastColumn="0" w:noHBand="0" w:noVBand="1"/>
      </w:tblPr>
      <w:tblGrid>
        <w:gridCol w:w="1811"/>
        <w:gridCol w:w="724"/>
        <w:gridCol w:w="634"/>
        <w:gridCol w:w="1449"/>
        <w:gridCol w:w="1177"/>
        <w:gridCol w:w="1901"/>
        <w:gridCol w:w="1539"/>
        <w:gridCol w:w="1811"/>
        <w:gridCol w:w="2183"/>
      </w:tblGrid>
      <w:tr w:rsidR="0074012D" w:rsidTr="0056782A">
        <w:trPr>
          <w:trHeight w:val="760"/>
        </w:trPr>
        <w:tc>
          <w:tcPr>
            <w:tcW w:w="1811" w:type="dxa"/>
          </w:tcPr>
          <w:p w:rsidR="0074012D" w:rsidRDefault="0074012D" w:rsidP="00713485">
            <w:pPr>
              <w:keepNext/>
              <w:widowControl w:val="0"/>
              <w:spacing w:after="0" w:line="240" w:lineRule="auto"/>
              <w:rPr>
                <w:b/>
              </w:rPr>
            </w:pPr>
            <w:r>
              <w:rPr>
                <w:b/>
                <w:sz w:val="24"/>
                <w:szCs w:val="24"/>
              </w:rPr>
              <w:br w:type="page"/>
            </w:r>
            <w:r w:rsidRPr="00713485">
              <w:rPr>
                <w:b/>
              </w:rPr>
              <w:t>Goal Name</w:t>
            </w:r>
          </w:p>
        </w:tc>
        <w:tc>
          <w:tcPr>
            <w:tcW w:w="724" w:type="dxa"/>
          </w:tcPr>
          <w:p w:rsidR="0074012D" w:rsidRDefault="0074012D" w:rsidP="006730D6">
            <w:pPr>
              <w:keepNext/>
              <w:widowControl w:val="0"/>
              <w:spacing w:after="0" w:line="240" w:lineRule="auto"/>
              <w:rPr>
                <w:b/>
              </w:rPr>
            </w:pPr>
            <w:r>
              <w:rPr>
                <w:b/>
              </w:rPr>
              <w:t>Start Year</w:t>
            </w:r>
          </w:p>
        </w:tc>
        <w:tc>
          <w:tcPr>
            <w:tcW w:w="634" w:type="dxa"/>
          </w:tcPr>
          <w:p w:rsidR="0074012D" w:rsidRDefault="0074012D" w:rsidP="006730D6">
            <w:pPr>
              <w:keepNext/>
              <w:widowControl w:val="0"/>
              <w:spacing w:after="0" w:line="240" w:lineRule="auto"/>
              <w:rPr>
                <w:b/>
              </w:rPr>
            </w:pPr>
            <w:r>
              <w:rPr>
                <w:b/>
              </w:rPr>
              <w:t>End Year</w:t>
            </w:r>
          </w:p>
        </w:tc>
        <w:tc>
          <w:tcPr>
            <w:tcW w:w="1449" w:type="dxa"/>
          </w:tcPr>
          <w:p w:rsidR="0074012D" w:rsidRDefault="0074012D" w:rsidP="006730D6">
            <w:pPr>
              <w:keepNext/>
              <w:widowControl w:val="0"/>
              <w:spacing w:after="0" w:line="240" w:lineRule="auto"/>
              <w:rPr>
                <w:b/>
              </w:rPr>
            </w:pPr>
            <w:r>
              <w:rPr>
                <w:b/>
              </w:rPr>
              <w:t>Category</w:t>
            </w:r>
          </w:p>
        </w:tc>
        <w:tc>
          <w:tcPr>
            <w:tcW w:w="1177" w:type="dxa"/>
          </w:tcPr>
          <w:p w:rsidR="0074012D" w:rsidRDefault="0074012D" w:rsidP="006730D6">
            <w:pPr>
              <w:keepNext/>
              <w:widowControl w:val="0"/>
              <w:spacing w:after="0" w:line="240" w:lineRule="auto"/>
              <w:rPr>
                <w:b/>
              </w:rPr>
            </w:pPr>
            <w:r>
              <w:rPr>
                <w:b/>
              </w:rPr>
              <w:t>Geographic Area</w:t>
            </w:r>
          </w:p>
        </w:tc>
        <w:tc>
          <w:tcPr>
            <w:tcW w:w="1901" w:type="dxa"/>
          </w:tcPr>
          <w:p w:rsidR="0074012D" w:rsidRDefault="0074012D" w:rsidP="006730D6">
            <w:pPr>
              <w:keepNext/>
              <w:widowControl w:val="0"/>
              <w:spacing w:after="0" w:line="240" w:lineRule="auto"/>
              <w:rPr>
                <w:b/>
              </w:rPr>
            </w:pPr>
            <w:r>
              <w:rPr>
                <w:b/>
              </w:rPr>
              <w:t>Needs Addressed</w:t>
            </w:r>
          </w:p>
        </w:tc>
        <w:tc>
          <w:tcPr>
            <w:tcW w:w="1539" w:type="dxa"/>
          </w:tcPr>
          <w:p w:rsidR="0074012D" w:rsidRDefault="0074012D" w:rsidP="006730D6">
            <w:pPr>
              <w:keepNext/>
              <w:widowControl w:val="0"/>
              <w:spacing w:after="0" w:line="240" w:lineRule="auto"/>
              <w:rPr>
                <w:b/>
              </w:rPr>
            </w:pPr>
            <w:r>
              <w:rPr>
                <w:b/>
              </w:rPr>
              <w:t>Potential Sources of Funding</w:t>
            </w:r>
          </w:p>
        </w:tc>
        <w:tc>
          <w:tcPr>
            <w:tcW w:w="1811" w:type="dxa"/>
          </w:tcPr>
          <w:p w:rsidR="0074012D" w:rsidRDefault="0074012D" w:rsidP="006730D6">
            <w:pPr>
              <w:keepNext/>
              <w:widowControl w:val="0"/>
              <w:spacing w:after="0" w:line="240" w:lineRule="auto"/>
              <w:rPr>
                <w:b/>
              </w:rPr>
            </w:pPr>
            <w:r>
              <w:rPr>
                <w:b/>
              </w:rPr>
              <w:t>Goal Outcome Indicator</w:t>
            </w:r>
          </w:p>
        </w:tc>
        <w:tc>
          <w:tcPr>
            <w:tcW w:w="2183" w:type="dxa"/>
          </w:tcPr>
          <w:p w:rsidR="0074012D" w:rsidRPr="007C4E9D" w:rsidRDefault="0074012D" w:rsidP="006730D6">
            <w:pPr>
              <w:keepNext/>
              <w:widowControl w:val="0"/>
              <w:spacing w:after="0" w:line="240" w:lineRule="auto"/>
              <w:rPr>
                <w:b/>
              </w:rPr>
            </w:pPr>
            <w:r w:rsidRPr="007C4E9D">
              <w:rPr>
                <w:b/>
              </w:rPr>
              <w:t>Actual Outcomes</w:t>
            </w:r>
          </w:p>
        </w:tc>
      </w:tr>
      <w:tr w:rsidR="0074012D" w:rsidTr="0056782A">
        <w:trPr>
          <w:cantSplit/>
          <w:trHeight w:val="3752"/>
        </w:trPr>
        <w:tc>
          <w:tcPr>
            <w:tcW w:w="1811" w:type="dxa"/>
          </w:tcPr>
          <w:p w:rsidR="0074012D" w:rsidRPr="00291019" w:rsidRDefault="00704AEF" w:rsidP="0074012D">
            <w:pPr>
              <w:spacing w:beforeAutospacing="1" w:after="0"/>
            </w:pPr>
            <w:r w:rsidRPr="00291019">
              <w:t xml:space="preserve">I. </w:t>
            </w:r>
            <w:r w:rsidR="0074012D" w:rsidRPr="00291019">
              <w:t xml:space="preserve">Reduced rate of households with cost burden and corresponding drop in poverty rates for homeless and those in danger of becoming homeless </w:t>
            </w:r>
            <w:r w:rsidR="0074012D" w:rsidRPr="00291019">
              <w:rPr>
                <w:i/>
              </w:rPr>
              <w:t>(Increase Opportunities for At Risk Populations</w:t>
            </w:r>
            <w:r w:rsidR="00F23B01" w:rsidRPr="00291019">
              <w:rPr>
                <w:i/>
              </w:rPr>
              <w:t>; Address Current and Emerging Needs</w:t>
            </w:r>
            <w:r w:rsidR="0074012D" w:rsidRPr="00291019">
              <w:rPr>
                <w:i/>
              </w:rPr>
              <w:t>)</w:t>
            </w:r>
          </w:p>
        </w:tc>
        <w:tc>
          <w:tcPr>
            <w:tcW w:w="724" w:type="dxa"/>
          </w:tcPr>
          <w:p w:rsidR="0074012D" w:rsidRPr="00291019" w:rsidRDefault="0074012D" w:rsidP="0093064E">
            <w:pPr>
              <w:spacing w:beforeAutospacing="1" w:after="0"/>
              <w:rPr>
                <w:color w:val="000000"/>
              </w:rPr>
            </w:pPr>
            <w:r w:rsidRPr="00291019">
              <w:rPr>
                <w:color w:val="000000"/>
              </w:rPr>
              <w:t>201</w:t>
            </w:r>
            <w:r w:rsidR="0093064E" w:rsidRPr="00291019">
              <w:rPr>
                <w:color w:val="000000"/>
              </w:rPr>
              <w:t>5</w:t>
            </w:r>
          </w:p>
        </w:tc>
        <w:tc>
          <w:tcPr>
            <w:tcW w:w="634" w:type="dxa"/>
          </w:tcPr>
          <w:p w:rsidR="0074012D" w:rsidRPr="00291019" w:rsidRDefault="0093064E" w:rsidP="00AC24E2">
            <w:pPr>
              <w:spacing w:beforeAutospacing="1" w:after="0"/>
              <w:rPr>
                <w:color w:val="000000"/>
              </w:rPr>
            </w:pPr>
            <w:r w:rsidRPr="00291019">
              <w:rPr>
                <w:color w:val="000000"/>
              </w:rPr>
              <w:t>2016</w:t>
            </w:r>
          </w:p>
        </w:tc>
        <w:tc>
          <w:tcPr>
            <w:tcW w:w="1449" w:type="dxa"/>
          </w:tcPr>
          <w:p w:rsidR="0074012D" w:rsidRPr="00291019" w:rsidRDefault="0074012D" w:rsidP="00AC24E2">
            <w:pPr>
              <w:spacing w:beforeAutospacing="1" w:after="0"/>
            </w:pPr>
            <w:r w:rsidRPr="00291019">
              <w:rPr>
                <w:color w:val="000000"/>
              </w:rPr>
              <w:t>Affordable Housing</w:t>
            </w:r>
            <w:r w:rsidRPr="00291019">
              <w:rPr>
                <w:color w:val="000000"/>
              </w:rPr>
              <w:br/>
              <w:t>Public Housing Homeless</w:t>
            </w:r>
          </w:p>
        </w:tc>
        <w:tc>
          <w:tcPr>
            <w:tcW w:w="1177" w:type="dxa"/>
          </w:tcPr>
          <w:p w:rsidR="0074012D" w:rsidRPr="00291019" w:rsidRDefault="0074012D" w:rsidP="00AC24E2">
            <w:pPr>
              <w:spacing w:beforeAutospacing="1" w:after="0"/>
            </w:pPr>
            <w:r w:rsidRPr="00291019">
              <w:rPr>
                <w:color w:val="000000"/>
              </w:rPr>
              <w:t>Citywide</w:t>
            </w:r>
          </w:p>
        </w:tc>
        <w:tc>
          <w:tcPr>
            <w:tcW w:w="1901" w:type="dxa"/>
          </w:tcPr>
          <w:p w:rsidR="0074012D" w:rsidRPr="00291019" w:rsidRDefault="0074012D" w:rsidP="00AC24E2">
            <w:pPr>
              <w:spacing w:beforeAutospacing="1" w:after="0"/>
            </w:pPr>
            <w:r w:rsidRPr="00291019">
              <w:rPr>
                <w:color w:val="000000"/>
              </w:rPr>
              <w:t>Emergency Shelters; Support Services for Homeless or People At Risk of Becoming Homeless; Rental Rehabilitation</w:t>
            </w:r>
            <w:r w:rsidR="00F23B01" w:rsidRPr="00291019">
              <w:rPr>
                <w:color w:val="000000"/>
              </w:rPr>
              <w:t>; Affordable Housing Non-Homeless Special Needs</w:t>
            </w:r>
          </w:p>
        </w:tc>
        <w:tc>
          <w:tcPr>
            <w:tcW w:w="1539" w:type="dxa"/>
          </w:tcPr>
          <w:p w:rsidR="0074012D" w:rsidRPr="00291019" w:rsidRDefault="0074012D" w:rsidP="002A6457">
            <w:pPr>
              <w:spacing w:beforeAutospacing="1" w:after="0"/>
              <w:rPr>
                <w:color w:val="000000"/>
              </w:rPr>
            </w:pPr>
            <w:r w:rsidRPr="00291019">
              <w:rPr>
                <w:color w:val="000000"/>
              </w:rPr>
              <w:t>CDBG; AHTF; CoC; L</w:t>
            </w:r>
            <w:r w:rsidR="00291019" w:rsidRPr="00291019">
              <w:rPr>
                <w:color w:val="000000"/>
              </w:rPr>
              <w:t>ow-</w:t>
            </w:r>
            <w:r w:rsidRPr="00291019">
              <w:rPr>
                <w:color w:val="000000"/>
              </w:rPr>
              <w:t>I</w:t>
            </w:r>
            <w:r w:rsidR="00291019" w:rsidRPr="00291019">
              <w:rPr>
                <w:color w:val="000000"/>
              </w:rPr>
              <w:t xml:space="preserve">ncome </w:t>
            </w:r>
            <w:r w:rsidRPr="00291019">
              <w:rPr>
                <w:color w:val="000000"/>
              </w:rPr>
              <w:t>H</w:t>
            </w:r>
            <w:r w:rsidR="00291019" w:rsidRPr="00291019">
              <w:rPr>
                <w:color w:val="000000"/>
              </w:rPr>
              <w:t xml:space="preserve">ousing </w:t>
            </w:r>
            <w:r w:rsidRPr="00291019">
              <w:rPr>
                <w:color w:val="000000"/>
              </w:rPr>
              <w:t>T</w:t>
            </w:r>
            <w:r w:rsidR="00291019" w:rsidRPr="00291019">
              <w:rPr>
                <w:color w:val="000000"/>
              </w:rPr>
              <w:t xml:space="preserve">ax </w:t>
            </w:r>
            <w:r w:rsidRPr="00291019">
              <w:rPr>
                <w:color w:val="000000"/>
              </w:rPr>
              <w:t>C</w:t>
            </w:r>
            <w:r w:rsidR="00291019" w:rsidRPr="00291019">
              <w:rPr>
                <w:color w:val="000000"/>
              </w:rPr>
              <w:t>redit (LIHTC)</w:t>
            </w:r>
            <w:r w:rsidRPr="00291019">
              <w:rPr>
                <w:color w:val="000000"/>
              </w:rPr>
              <w:t>; RAD; HOME; MFA Development Funds; F</w:t>
            </w:r>
            <w:r w:rsidR="002A6457">
              <w:rPr>
                <w:color w:val="000000"/>
              </w:rPr>
              <w:t>oreclosure Prevention Funds (HAM</w:t>
            </w:r>
            <w:r w:rsidRPr="00291019">
              <w:rPr>
                <w:color w:val="000000"/>
              </w:rPr>
              <w:t>P</w:t>
            </w:r>
            <w:r w:rsidR="002A6457">
              <w:rPr>
                <w:color w:val="000000"/>
              </w:rPr>
              <w:t>: Home Affordable Modification Program</w:t>
            </w:r>
            <w:r w:rsidRPr="00291019">
              <w:rPr>
                <w:color w:val="000000"/>
              </w:rPr>
              <w:t>, PRA</w:t>
            </w:r>
            <w:r w:rsidR="002A6457">
              <w:rPr>
                <w:color w:val="000000"/>
              </w:rPr>
              <w:t>: Principal Reduction Alternative</w:t>
            </w:r>
            <w:r w:rsidRPr="00291019">
              <w:rPr>
                <w:color w:val="000000"/>
              </w:rPr>
              <w:t xml:space="preserve"> etc.)</w:t>
            </w:r>
          </w:p>
        </w:tc>
        <w:tc>
          <w:tcPr>
            <w:tcW w:w="1811" w:type="dxa"/>
          </w:tcPr>
          <w:p w:rsidR="0074012D" w:rsidRPr="00291019" w:rsidRDefault="0074012D" w:rsidP="00AC24E2">
            <w:pPr>
              <w:spacing w:beforeAutospacing="1" w:after="0"/>
            </w:pPr>
            <w:r w:rsidRPr="00291019">
              <w:rPr>
                <w:color w:val="000000"/>
              </w:rPr>
              <w:t>Rental units constructed; Tenant-based rental assistance/Rapid Re-housing; Overnight/</w:t>
            </w:r>
            <w:r w:rsidR="00A80DE3" w:rsidRPr="00291019">
              <w:rPr>
                <w:color w:val="000000"/>
              </w:rPr>
              <w:t xml:space="preserve"> </w:t>
            </w:r>
            <w:r w:rsidRPr="00291019">
              <w:rPr>
                <w:color w:val="000000"/>
              </w:rPr>
              <w:t>emergency shelter/</w:t>
            </w:r>
            <w:r w:rsidR="00A80DE3" w:rsidRPr="00291019">
              <w:rPr>
                <w:color w:val="000000"/>
              </w:rPr>
              <w:t xml:space="preserve"> </w:t>
            </w:r>
            <w:r w:rsidRPr="00291019">
              <w:rPr>
                <w:color w:val="000000"/>
              </w:rPr>
              <w:t>transitional housing beds added; Homeless Prevention; Homeowner housing rehabilitated; Housing for homeless added</w:t>
            </w:r>
          </w:p>
        </w:tc>
        <w:tc>
          <w:tcPr>
            <w:tcW w:w="2183" w:type="dxa"/>
          </w:tcPr>
          <w:p w:rsidR="0074012D" w:rsidRPr="007C4E9D" w:rsidRDefault="00512D05" w:rsidP="007C4E9D">
            <w:pPr>
              <w:spacing w:beforeAutospacing="1" w:after="0" w:line="240" w:lineRule="auto"/>
              <w:rPr>
                <w:color w:val="000000"/>
              </w:rPr>
            </w:pPr>
            <w:r w:rsidRPr="007C4E9D">
              <w:rPr>
                <w:color w:val="000000"/>
              </w:rPr>
              <w:t xml:space="preserve">CDBG:  </w:t>
            </w:r>
            <w:r w:rsidR="007C4E9D" w:rsidRPr="007C4E9D">
              <w:rPr>
                <w:color w:val="000000"/>
              </w:rPr>
              <w:t>440</w:t>
            </w:r>
            <w:r w:rsidR="00281711" w:rsidRPr="007C4E9D">
              <w:rPr>
                <w:color w:val="000000"/>
              </w:rPr>
              <w:t xml:space="preserve"> </w:t>
            </w:r>
            <w:r w:rsidR="000F53B7" w:rsidRPr="007C4E9D">
              <w:rPr>
                <w:color w:val="000000"/>
              </w:rPr>
              <w:t xml:space="preserve">total </w:t>
            </w:r>
            <w:r w:rsidR="00A36191" w:rsidRPr="007C4E9D">
              <w:rPr>
                <w:color w:val="000000"/>
              </w:rPr>
              <w:t>students</w:t>
            </w:r>
            <w:r w:rsidR="000F53B7" w:rsidRPr="007C4E9D">
              <w:rPr>
                <w:color w:val="000000"/>
              </w:rPr>
              <w:t xml:space="preserve"> served by Adelante</w:t>
            </w:r>
            <w:r w:rsidR="00340596" w:rsidRPr="007C4E9D">
              <w:rPr>
                <w:color w:val="000000"/>
              </w:rPr>
              <w:t xml:space="preserve">’s </w:t>
            </w:r>
            <w:r w:rsidR="007C4E9D" w:rsidRPr="007C4E9D">
              <w:rPr>
                <w:color w:val="000000"/>
              </w:rPr>
              <w:t>elementary school liaison;</w:t>
            </w:r>
            <w:r w:rsidR="00704AEF" w:rsidRPr="007C4E9D">
              <w:rPr>
                <w:color w:val="000000"/>
              </w:rPr>
              <w:t xml:space="preserve"> </w:t>
            </w:r>
            <w:r w:rsidR="007C4E9D" w:rsidRPr="007C4E9D">
              <w:rPr>
                <w:color w:val="000000"/>
              </w:rPr>
              <w:t>683</w:t>
            </w:r>
            <w:r w:rsidR="00FE483A" w:rsidRPr="007C4E9D">
              <w:rPr>
                <w:color w:val="000000"/>
              </w:rPr>
              <w:t xml:space="preserve"> total </w:t>
            </w:r>
            <w:r w:rsidR="00704AEF" w:rsidRPr="007C4E9D">
              <w:rPr>
                <w:color w:val="000000"/>
              </w:rPr>
              <w:t>chronically-ill served</w:t>
            </w:r>
            <w:r w:rsidR="00FE483A" w:rsidRPr="007C4E9D">
              <w:rPr>
                <w:color w:val="000000"/>
              </w:rPr>
              <w:t xml:space="preserve"> with </w:t>
            </w:r>
            <w:r w:rsidR="007C4E9D" w:rsidRPr="007C4E9D">
              <w:rPr>
                <w:color w:val="000000"/>
              </w:rPr>
              <w:t>216</w:t>
            </w:r>
            <w:r w:rsidR="00FE483A" w:rsidRPr="007C4E9D">
              <w:rPr>
                <w:color w:val="000000"/>
              </w:rPr>
              <w:t xml:space="preserve"> new clients</w:t>
            </w:r>
            <w:r w:rsidR="00704AEF" w:rsidRPr="007C4E9D">
              <w:rPr>
                <w:color w:val="000000"/>
              </w:rPr>
              <w:t xml:space="preserve"> (Kitchen Angels); </w:t>
            </w:r>
            <w:r w:rsidR="007C4E9D" w:rsidRPr="007C4E9D">
              <w:rPr>
                <w:color w:val="000000"/>
              </w:rPr>
              <w:t>412</w:t>
            </w:r>
            <w:r w:rsidRPr="007C4E9D">
              <w:rPr>
                <w:color w:val="000000"/>
              </w:rPr>
              <w:t xml:space="preserve"> homeless youth served with street outreach and case management</w:t>
            </w:r>
            <w:r w:rsidR="00704AEF" w:rsidRPr="007C4E9D">
              <w:rPr>
                <w:color w:val="000000"/>
              </w:rPr>
              <w:t>);</w:t>
            </w:r>
            <w:r w:rsidR="007C4E9D">
              <w:rPr>
                <w:color w:val="000000"/>
              </w:rPr>
              <w:t xml:space="preserve"> 974 youth provided tutoring, job readiness, counseling, referral to services (Youthworks); 412 youth living on the street reached and provided services, food, referrals (Youth Shelters)</w:t>
            </w:r>
            <w:r w:rsidR="00704AEF" w:rsidRPr="007C4E9D">
              <w:rPr>
                <w:color w:val="000000"/>
              </w:rPr>
              <w:t xml:space="preserve"> </w:t>
            </w:r>
          </w:p>
        </w:tc>
      </w:tr>
    </w:tbl>
    <w:p w:rsidR="00287A50" w:rsidRDefault="00287A50"/>
    <w:p w:rsidR="00287A50" w:rsidRDefault="00287A50"/>
    <w:p w:rsidR="00287A50" w:rsidRDefault="00287A50"/>
    <w:p w:rsidR="00287A50" w:rsidRDefault="00287A50"/>
    <w:p w:rsidR="00287A50" w:rsidRPr="00287A50" w:rsidRDefault="00287A50">
      <w:pPr>
        <w:rPr>
          <w:b/>
          <w:i/>
          <w:sz w:val="26"/>
          <w:szCs w:val="26"/>
        </w:rPr>
      </w:pPr>
      <w:r w:rsidRPr="00887488">
        <w:rPr>
          <w:b/>
          <w:i/>
          <w:sz w:val="20"/>
          <w:szCs w:val="20"/>
        </w:rPr>
        <w:t xml:space="preserve">Table 2:  </w:t>
      </w:r>
      <w:r w:rsidRPr="00887488">
        <w:rPr>
          <w:b/>
          <w:sz w:val="20"/>
          <w:szCs w:val="20"/>
        </w:rPr>
        <w:t>Goals and Outcomes</w:t>
      </w:r>
      <w:r>
        <w:rPr>
          <w:b/>
          <w:i/>
          <w:sz w:val="26"/>
          <w:szCs w:val="26"/>
        </w:rPr>
        <w:t xml:space="preserve"> </w:t>
      </w:r>
      <w:r w:rsidRPr="00287A50">
        <w:rPr>
          <w:b/>
          <w:i/>
          <w:sz w:val="20"/>
          <w:szCs w:val="20"/>
        </w:rPr>
        <w:t>– cont.</w:t>
      </w:r>
    </w:p>
    <w:tbl>
      <w:tblPr>
        <w:tblStyle w:val="TableGrid"/>
        <w:tblW w:w="13229" w:type="dxa"/>
        <w:tblInd w:w="-432" w:type="dxa"/>
        <w:tblLayout w:type="fixed"/>
        <w:tblLook w:val="04A0" w:firstRow="1" w:lastRow="0" w:firstColumn="1" w:lastColumn="0" w:noHBand="0" w:noVBand="1"/>
      </w:tblPr>
      <w:tblGrid>
        <w:gridCol w:w="1811"/>
        <w:gridCol w:w="724"/>
        <w:gridCol w:w="634"/>
        <w:gridCol w:w="1449"/>
        <w:gridCol w:w="1177"/>
        <w:gridCol w:w="1901"/>
        <w:gridCol w:w="1539"/>
        <w:gridCol w:w="1811"/>
        <w:gridCol w:w="2183"/>
      </w:tblGrid>
      <w:tr w:rsidR="0074012D" w:rsidTr="0056782A">
        <w:trPr>
          <w:cantSplit/>
          <w:trHeight w:val="4074"/>
        </w:trPr>
        <w:tc>
          <w:tcPr>
            <w:tcW w:w="1811" w:type="dxa"/>
          </w:tcPr>
          <w:p w:rsidR="0074012D" w:rsidRPr="00291019" w:rsidRDefault="00704AEF" w:rsidP="000C06BA">
            <w:pPr>
              <w:spacing w:beforeAutospacing="1" w:afterAutospacing="1"/>
            </w:pPr>
            <w:r w:rsidRPr="00291019">
              <w:rPr>
                <w:color w:val="000000"/>
              </w:rPr>
              <w:t xml:space="preserve">II. Inventory of rental units and vouchers expanded to meet increased demand </w:t>
            </w:r>
            <w:r w:rsidRPr="00291019">
              <w:rPr>
                <w:i/>
                <w:color w:val="000000"/>
              </w:rPr>
              <w:t>(Increase Affordable Housing Opportunities)</w:t>
            </w:r>
          </w:p>
        </w:tc>
        <w:tc>
          <w:tcPr>
            <w:tcW w:w="724" w:type="dxa"/>
          </w:tcPr>
          <w:p w:rsidR="0074012D" w:rsidRPr="00291019" w:rsidRDefault="00BA09AD" w:rsidP="000C06BA">
            <w:pPr>
              <w:spacing w:beforeAutospacing="1" w:afterAutospacing="1"/>
              <w:rPr>
                <w:color w:val="000000"/>
              </w:rPr>
            </w:pPr>
            <w:r w:rsidRPr="00291019">
              <w:rPr>
                <w:color w:val="000000"/>
              </w:rPr>
              <w:t>2015</w:t>
            </w:r>
          </w:p>
        </w:tc>
        <w:tc>
          <w:tcPr>
            <w:tcW w:w="634" w:type="dxa"/>
          </w:tcPr>
          <w:p w:rsidR="0074012D" w:rsidRPr="00291019" w:rsidRDefault="00BA09AD" w:rsidP="000C06BA">
            <w:pPr>
              <w:spacing w:beforeAutospacing="1" w:afterAutospacing="1"/>
              <w:rPr>
                <w:color w:val="000000"/>
              </w:rPr>
            </w:pPr>
            <w:r w:rsidRPr="00291019">
              <w:rPr>
                <w:color w:val="000000"/>
              </w:rPr>
              <w:t>2016</w:t>
            </w:r>
          </w:p>
        </w:tc>
        <w:tc>
          <w:tcPr>
            <w:tcW w:w="1449" w:type="dxa"/>
          </w:tcPr>
          <w:p w:rsidR="0074012D" w:rsidRPr="00291019" w:rsidRDefault="0074012D" w:rsidP="000C06BA">
            <w:pPr>
              <w:spacing w:beforeAutospacing="1" w:after="0"/>
            </w:pPr>
            <w:r w:rsidRPr="00291019">
              <w:rPr>
                <w:color w:val="000000"/>
              </w:rPr>
              <w:t>Affordable Housing</w:t>
            </w:r>
            <w:r w:rsidRPr="00291019">
              <w:rPr>
                <w:color w:val="000000"/>
              </w:rPr>
              <w:br/>
            </w:r>
          </w:p>
        </w:tc>
        <w:tc>
          <w:tcPr>
            <w:tcW w:w="1177" w:type="dxa"/>
          </w:tcPr>
          <w:p w:rsidR="0074012D" w:rsidRPr="00291019" w:rsidRDefault="000504DD" w:rsidP="000C06BA">
            <w:pPr>
              <w:spacing w:beforeAutospacing="1" w:afterAutospacing="1"/>
            </w:pPr>
            <w:r w:rsidRPr="00291019">
              <w:rPr>
                <w:color w:val="000000"/>
              </w:rPr>
              <w:t>Citywide</w:t>
            </w:r>
          </w:p>
        </w:tc>
        <w:tc>
          <w:tcPr>
            <w:tcW w:w="1901" w:type="dxa"/>
          </w:tcPr>
          <w:p w:rsidR="0074012D" w:rsidRPr="00291019" w:rsidRDefault="000504DD" w:rsidP="000C06BA">
            <w:pPr>
              <w:spacing w:beforeAutospacing="1" w:afterAutospacing="1"/>
            </w:pPr>
            <w:r w:rsidRPr="00291019">
              <w:t xml:space="preserve">Rental Vouchers; Rental Rehabilitation; Provision of Rental Units and Support Services for LI/VLI Renters; Non-housing </w:t>
            </w:r>
            <w:r w:rsidR="000C06BA" w:rsidRPr="00291019">
              <w:t>Community Facilities and Services; Fair Housing Outreach</w:t>
            </w:r>
          </w:p>
        </w:tc>
        <w:tc>
          <w:tcPr>
            <w:tcW w:w="1539" w:type="dxa"/>
          </w:tcPr>
          <w:p w:rsidR="000C06BA" w:rsidRPr="00291019" w:rsidRDefault="000C06BA" w:rsidP="000C06BA">
            <w:pPr>
              <w:spacing w:beforeAutospacing="1" w:afterAutospacing="1"/>
              <w:rPr>
                <w:color w:val="000000"/>
              </w:rPr>
            </w:pPr>
            <w:r w:rsidRPr="00291019">
              <w:rPr>
                <w:color w:val="000000"/>
              </w:rPr>
              <w:t>CDBG; AHTF; CoC; LIHTC; RAD</w:t>
            </w:r>
          </w:p>
          <w:p w:rsidR="000C06BA" w:rsidRPr="00291019" w:rsidRDefault="000C06BA" w:rsidP="000C06BA">
            <w:pPr>
              <w:spacing w:beforeAutospacing="1" w:afterAutospacing="1"/>
            </w:pPr>
          </w:p>
        </w:tc>
        <w:tc>
          <w:tcPr>
            <w:tcW w:w="1811" w:type="dxa"/>
          </w:tcPr>
          <w:p w:rsidR="0074012D" w:rsidRPr="00291019" w:rsidRDefault="000C06BA" w:rsidP="000C06BA">
            <w:pPr>
              <w:spacing w:beforeAutospacing="1" w:afterAutospacing="1"/>
            </w:pPr>
            <w:r w:rsidRPr="00291019">
              <w:rPr>
                <w:color w:val="000000"/>
              </w:rPr>
              <w:t>Rental units constructed; Rental units rehabilitated; Tenant-based rental assistance/ Rapid re-housing; housing for homeless added</w:t>
            </w:r>
          </w:p>
        </w:tc>
        <w:tc>
          <w:tcPr>
            <w:tcW w:w="2183" w:type="dxa"/>
          </w:tcPr>
          <w:p w:rsidR="0074012D" w:rsidRPr="00D336A4" w:rsidRDefault="007C4E9D" w:rsidP="007C4E9D">
            <w:pPr>
              <w:spacing w:before="100" w:beforeAutospacing="1" w:after="100" w:afterAutospacing="1"/>
              <w:rPr>
                <w:color w:val="000000"/>
                <w:highlight w:val="yellow"/>
              </w:rPr>
            </w:pPr>
            <w:r w:rsidRPr="007C4E9D">
              <w:rPr>
                <w:color w:val="000000"/>
              </w:rPr>
              <w:t>S+C: 22 individual tenants served with rental assistance funds</w:t>
            </w:r>
            <w:r>
              <w:rPr>
                <w:color w:val="000000"/>
              </w:rPr>
              <w:t>; Outreach about renters rights and fair housing laws provided through Tino the Tenant distributed at local outlets and through SFPS.</w:t>
            </w:r>
          </w:p>
        </w:tc>
      </w:tr>
      <w:tr w:rsidR="0074012D" w:rsidTr="0056782A">
        <w:trPr>
          <w:cantSplit/>
          <w:trHeight w:val="3204"/>
        </w:trPr>
        <w:tc>
          <w:tcPr>
            <w:tcW w:w="1811" w:type="dxa"/>
          </w:tcPr>
          <w:p w:rsidR="0074012D" w:rsidRPr="00291019" w:rsidRDefault="00ED1CFF" w:rsidP="00ED1CFF">
            <w:pPr>
              <w:spacing w:beforeAutospacing="1" w:afterAutospacing="1"/>
            </w:pPr>
            <w:r w:rsidRPr="00291019">
              <w:rPr>
                <w:color w:val="000000"/>
              </w:rPr>
              <w:t xml:space="preserve">III. Increased homeownership opportunities </w:t>
            </w:r>
            <w:r w:rsidRPr="00291019">
              <w:rPr>
                <w:i/>
                <w:color w:val="000000"/>
                <w:u w:val="single"/>
              </w:rPr>
              <w:t>and</w:t>
            </w:r>
            <w:r w:rsidRPr="00291019">
              <w:rPr>
                <w:color w:val="000000"/>
              </w:rPr>
              <w:t xml:space="preserve"> support for long-term affordability and accessibility for current homeowners </w:t>
            </w:r>
            <w:r w:rsidRPr="00291019">
              <w:rPr>
                <w:i/>
                <w:color w:val="000000"/>
              </w:rPr>
              <w:t>(Increase Affordable Housing Opportunities</w:t>
            </w:r>
            <w:r w:rsidR="00AF3AB0" w:rsidRPr="00291019">
              <w:rPr>
                <w:i/>
                <w:color w:val="000000"/>
              </w:rPr>
              <w:t>)</w:t>
            </w:r>
          </w:p>
        </w:tc>
        <w:tc>
          <w:tcPr>
            <w:tcW w:w="724" w:type="dxa"/>
          </w:tcPr>
          <w:p w:rsidR="0074012D" w:rsidRPr="00291019" w:rsidRDefault="00BA09AD" w:rsidP="00ED1CFF">
            <w:pPr>
              <w:spacing w:beforeAutospacing="1" w:afterAutospacing="1"/>
              <w:rPr>
                <w:color w:val="000000"/>
              </w:rPr>
            </w:pPr>
            <w:r w:rsidRPr="00291019">
              <w:rPr>
                <w:color w:val="000000"/>
              </w:rPr>
              <w:t>2015</w:t>
            </w:r>
          </w:p>
        </w:tc>
        <w:tc>
          <w:tcPr>
            <w:tcW w:w="634" w:type="dxa"/>
          </w:tcPr>
          <w:p w:rsidR="0074012D" w:rsidRPr="00291019" w:rsidRDefault="00BA09AD" w:rsidP="00ED1CFF">
            <w:pPr>
              <w:spacing w:beforeAutospacing="1" w:afterAutospacing="1"/>
              <w:rPr>
                <w:color w:val="000000"/>
              </w:rPr>
            </w:pPr>
            <w:r w:rsidRPr="00291019">
              <w:rPr>
                <w:color w:val="000000"/>
              </w:rPr>
              <w:t>2016</w:t>
            </w:r>
          </w:p>
        </w:tc>
        <w:tc>
          <w:tcPr>
            <w:tcW w:w="1449" w:type="dxa"/>
          </w:tcPr>
          <w:p w:rsidR="0074012D" w:rsidRPr="00291019" w:rsidRDefault="00FF148F" w:rsidP="00ED1CFF">
            <w:pPr>
              <w:spacing w:beforeAutospacing="1" w:afterAutospacing="1"/>
            </w:pPr>
            <w:r w:rsidRPr="00291019">
              <w:rPr>
                <w:color w:val="000000"/>
              </w:rPr>
              <w:t>Affordable Housing</w:t>
            </w:r>
            <w:r w:rsidR="00AF3AB0" w:rsidRPr="00291019">
              <w:rPr>
                <w:color w:val="000000"/>
              </w:rPr>
              <w:t>/Non Homeless Special Needs</w:t>
            </w:r>
          </w:p>
        </w:tc>
        <w:tc>
          <w:tcPr>
            <w:tcW w:w="1177" w:type="dxa"/>
          </w:tcPr>
          <w:p w:rsidR="0074012D" w:rsidRPr="00291019" w:rsidRDefault="00FF148F" w:rsidP="00ED1CFF">
            <w:pPr>
              <w:spacing w:beforeAutospacing="1" w:afterAutospacing="1"/>
            </w:pPr>
            <w:r w:rsidRPr="00291019">
              <w:rPr>
                <w:color w:val="000000"/>
              </w:rPr>
              <w:t>Citywide</w:t>
            </w:r>
          </w:p>
        </w:tc>
        <w:tc>
          <w:tcPr>
            <w:tcW w:w="1901" w:type="dxa"/>
          </w:tcPr>
          <w:p w:rsidR="0074012D" w:rsidRPr="00291019" w:rsidRDefault="00FF148F" w:rsidP="006730D6">
            <w:pPr>
              <w:spacing w:beforeAutospacing="1" w:afterAutospacing="1"/>
            </w:pPr>
            <w:r w:rsidRPr="00291019">
              <w:rPr>
                <w:color w:val="000000"/>
              </w:rPr>
              <w:t>Down Payment A</w:t>
            </w:r>
            <w:r w:rsidR="006730D6" w:rsidRPr="00291019">
              <w:rPr>
                <w:color w:val="000000"/>
              </w:rPr>
              <w:t>ssistance; Homeowner Rehabilitation</w:t>
            </w:r>
            <w:r w:rsidRPr="00291019">
              <w:rPr>
                <w:color w:val="000000"/>
              </w:rPr>
              <w:t>; Diversity in Housing Types; Home buyer Training and Counseling; Fair housing Outreach; Support for Current Homeowners</w:t>
            </w:r>
          </w:p>
        </w:tc>
        <w:tc>
          <w:tcPr>
            <w:tcW w:w="1539" w:type="dxa"/>
          </w:tcPr>
          <w:p w:rsidR="0074012D" w:rsidRPr="00291019" w:rsidRDefault="00FF148F" w:rsidP="00291019">
            <w:pPr>
              <w:spacing w:beforeAutospacing="1" w:afterAutospacing="1"/>
            </w:pPr>
            <w:r w:rsidRPr="00291019">
              <w:rPr>
                <w:color w:val="000000"/>
              </w:rPr>
              <w:t>CDBG</w:t>
            </w:r>
            <w:r w:rsidR="00291019">
              <w:rPr>
                <w:color w:val="000000"/>
              </w:rPr>
              <w:t>:</w:t>
            </w:r>
            <w:r w:rsidR="00192714" w:rsidRPr="00291019">
              <w:rPr>
                <w:color w:val="000000"/>
              </w:rPr>
              <w:t xml:space="preserve"> </w:t>
            </w:r>
            <w:r w:rsidR="00291019">
              <w:rPr>
                <w:color w:val="000000"/>
              </w:rPr>
              <w:t xml:space="preserve">AHTF Shelter Plus Care; </w:t>
            </w:r>
            <w:r w:rsidRPr="00291019">
              <w:rPr>
                <w:color w:val="000000"/>
              </w:rPr>
              <w:t>LIHTC</w:t>
            </w:r>
            <w:r w:rsidR="00291019">
              <w:rPr>
                <w:color w:val="000000"/>
              </w:rPr>
              <w:t>;</w:t>
            </w:r>
            <w:r w:rsidRPr="00291019">
              <w:rPr>
                <w:color w:val="000000"/>
              </w:rPr>
              <w:t xml:space="preserve"> </w:t>
            </w:r>
            <w:r w:rsidR="009D0A9F" w:rsidRPr="00291019">
              <w:rPr>
                <w:color w:val="000000"/>
              </w:rPr>
              <w:t xml:space="preserve">        </w:t>
            </w:r>
            <w:r w:rsidRPr="00291019">
              <w:rPr>
                <w:color w:val="000000"/>
              </w:rPr>
              <w:t>RAD</w:t>
            </w:r>
          </w:p>
        </w:tc>
        <w:tc>
          <w:tcPr>
            <w:tcW w:w="1811" w:type="dxa"/>
          </w:tcPr>
          <w:p w:rsidR="0074012D" w:rsidRPr="00291019" w:rsidRDefault="00266947" w:rsidP="00ED1CFF">
            <w:pPr>
              <w:spacing w:beforeAutospacing="1" w:afterAutospacing="1"/>
            </w:pPr>
            <w:r w:rsidRPr="00291019">
              <w:rPr>
                <w:color w:val="000000"/>
              </w:rPr>
              <w:t xml:space="preserve">Homeowner housing added; Homeowner housing rehabilitated; Direct financial assistance to homebuyers; Jobs created; </w:t>
            </w:r>
          </w:p>
        </w:tc>
        <w:tc>
          <w:tcPr>
            <w:tcW w:w="2183" w:type="dxa"/>
          </w:tcPr>
          <w:p w:rsidR="006730D6" w:rsidRPr="007C4E9D" w:rsidRDefault="0056782A" w:rsidP="00F1742B">
            <w:pPr>
              <w:spacing w:beforeAutospacing="1" w:afterAutospacing="1"/>
              <w:rPr>
                <w:color w:val="000000"/>
              </w:rPr>
            </w:pPr>
            <w:r w:rsidRPr="007C4E9D">
              <w:rPr>
                <w:color w:val="000000"/>
              </w:rPr>
              <w:t xml:space="preserve">CDBG: </w:t>
            </w:r>
            <w:r w:rsidR="007C4E9D" w:rsidRPr="007C4E9D">
              <w:rPr>
                <w:color w:val="000000"/>
              </w:rPr>
              <w:t>31</w:t>
            </w:r>
            <w:r w:rsidR="00DE1977" w:rsidRPr="007C4E9D">
              <w:rPr>
                <w:color w:val="000000"/>
              </w:rPr>
              <w:t xml:space="preserve"> Down Pa</w:t>
            </w:r>
            <w:r w:rsidR="00BA09AD" w:rsidRPr="007C4E9D">
              <w:rPr>
                <w:color w:val="000000"/>
              </w:rPr>
              <w:t>yment Assistance Loans (</w:t>
            </w:r>
            <w:r w:rsidR="007C4E9D" w:rsidRPr="007C4E9D">
              <w:rPr>
                <w:color w:val="000000"/>
              </w:rPr>
              <w:t>21 Homewi</w:t>
            </w:r>
            <w:r w:rsidRPr="007C4E9D">
              <w:rPr>
                <w:color w:val="000000"/>
              </w:rPr>
              <w:t xml:space="preserve">se, </w:t>
            </w:r>
            <w:r w:rsidR="007C4E9D" w:rsidRPr="007C4E9D">
              <w:rPr>
                <w:color w:val="000000"/>
              </w:rPr>
              <w:t xml:space="preserve">10 </w:t>
            </w:r>
            <w:r w:rsidRPr="007C4E9D">
              <w:rPr>
                <w:color w:val="000000"/>
              </w:rPr>
              <w:t>Housing Trust</w:t>
            </w:r>
            <w:r w:rsidR="00BA09AD" w:rsidRPr="007C4E9D">
              <w:rPr>
                <w:color w:val="000000"/>
              </w:rPr>
              <w:t xml:space="preserve">); </w:t>
            </w:r>
            <w:r w:rsidRPr="007C4E9D">
              <w:rPr>
                <w:color w:val="000000"/>
              </w:rPr>
              <w:t xml:space="preserve">                      CDBG: </w:t>
            </w:r>
            <w:r w:rsidR="007C4E9D" w:rsidRPr="007C4E9D">
              <w:rPr>
                <w:color w:val="000000"/>
              </w:rPr>
              <w:t>25</w:t>
            </w:r>
            <w:r w:rsidR="006730D6" w:rsidRPr="007C4E9D">
              <w:rPr>
                <w:color w:val="000000"/>
              </w:rPr>
              <w:t xml:space="preserve"> home improvement loans </w:t>
            </w:r>
            <w:r w:rsidR="00DE1977" w:rsidRPr="007C4E9D">
              <w:rPr>
                <w:color w:val="000000"/>
              </w:rPr>
              <w:t>(</w:t>
            </w:r>
            <w:r w:rsidR="00F1742B">
              <w:rPr>
                <w:color w:val="000000"/>
              </w:rPr>
              <w:t>16</w:t>
            </w:r>
            <w:r w:rsidR="005A689C" w:rsidRPr="007C4E9D">
              <w:rPr>
                <w:color w:val="000000"/>
              </w:rPr>
              <w:t xml:space="preserve"> </w:t>
            </w:r>
            <w:r w:rsidRPr="007C4E9D">
              <w:rPr>
                <w:color w:val="000000"/>
              </w:rPr>
              <w:t xml:space="preserve">Habitat, </w:t>
            </w:r>
            <w:r w:rsidR="00F1742B">
              <w:rPr>
                <w:color w:val="000000"/>
              </w:rPr>
              <w:t>9</w:t>
            </w:r>
            <w:r w:rsidR="005A689C" w:rsidRPr="007C4E9D">
              <w:rPr>
                <w:color w:val="000000"/>
              </w:rPr>
              <w:t xml:space="preserve"> </w:t>
            </w:r>
            <w:r w:rsidRPr="007C4E9D">
              <w:rPr>
                <w:color w:val="000000"/>
              </w:rPr>
              <w:t>Homeiwse</w:t>
            </w:r>
            <w:r w:rsidR="007C4E9D" w:rsidRPr="007C4E9D">
              <w:rPr>
                <w:color w:val="000000"/>
              </w:rPr>
              <w:t>); foreclosure assistance services provided to 6 HH (Legal Aid)</w:t>
            </w:r>
          </w:p>
        </w:tc>
      </w:tr>
    </w:tbl>
    <w:p w:rsidR="00287A50" w:rsidRDefault="00287A50"/>
    <w:p w:rsidR="00287A50" w:rsidRDefault="00287A50"/>
    <w:p w:rsidR="00287A50" w:rsidRDefault="00287A50"/>
    <w:p w:rsidR="00287A50" w:rsidRPr="00287A50" w:rsidRDefault="00287A50">
      <w:pPr>
        <w:rPr>
          <w:b/>
          <w:i/>
          <w:sz w:val="26"/>
          <w:szCs w:val="26"/>
        </w:rPr>
      </w:pPr>
      <w:r w:rsidRPr="00887488">
        <w:rPr>
          <w:b/>
          <w:i/>
          <w:sz w:val="20"/>
          <w:szCs w:val="20"/>
        </w:rPr>
        <w:t xml:space="preserve">Table 2:  </w:t>
      </w:r>
      <w:r w:rsidRPr="00887488">
        <w:rPr>
          <w:b/>
          <w:sz w:val="20"/>
          <w:szCs w:val="20"/>
        </w:rPr>
        <w:t>Goals and Outcomes</w:t>
      </w:r>
      <w:r>
        <w:rPr>
          <w:b/>
          <w:i/>
          <w:sz w:val="26"/>
          <w:szCs w:val="26"/>
        </w:rPr>
        <w:t xml:space="preserve"> </w:t>
      </w:r>
      <w:r w:rsidRPr="00287A50">
        <w:rPr>
          <w:b/>
          <w:i/>
          <w:sz w:val="20"/>
          <w:szCs w:val="20"/>
        </w:rPr>
        <w:t>– cont.</w:t>
      </w:r>
    </w:p>
    <w:tbl>
      <w:tblPr>
        <w:tblStyle w:val="TableGrid"/>
        <w:tblW w:w="13229" w:type="dxa"/>
        <w:tblInd w:w="-432" w:type="dxa"/>
        <w:tblLayout w:type="fixed"/>
        <w:tblLook w:val="04A0" w:firstRow="1" w:lastRow="0" w:firstColumn="1" w:lastColumn="0" w:noHBand="0" w:noVBand="1"/>
      </w:tblPr>
      <w:tblGrid>
        <w:gridCol w:w="1811"/>
        <w:gridCol w:w="724"/>
        <w:gridCol w:w="634"/>
        <w:gridCol w:w="1449"/>
        <w:gridCol w:w="1177"/>
        <w:gridCol w:w="1901"/>
        <w:gridCol w:w="1539"/>
        <w:gridCol w:w="1811"/>
        <w:gridCol w:w="2183"/>
      </w:tblGrid>
      <w:tr w:rsidR="0074012D" w:rsidTr="0056782A">
        <w:trPr>
          <w:cantSplit/>
          <w:trHeight w:val="149"/>
        </w:trPr>
        <w:tc>
          <w:tcPr>
            <w:tcW w:w="1811" w:type="dxa"/>
          </w:tcPr>
          <w:p w:rsidR="0074012D" w:rsidRPr="00291019" w:rsidRDefault="00DE1977" w:rsidP="00DE1977">
            <w:pPr>
              <w:spacing w:beforeAutospacing="1" w:afterAutospacing="1"/>
            </w:pPr>
            <w:r w:rsidRPr="00291019">
              <w:rPr>
                <w:color w:val="000000"/>
              </w:rPr>
              <w:t xml:space="preserve">IV. Housing Opportunities reflect emerging needs, changing demographics and are aligned with redevelopment projects, economic development objectives and sustainability goals </w:t>
            </w:r>
            <w:r w:rsidRPr="00291019">
              <w:rPr>
                <w:i/>
                <w:color w:val="000000"/>
              </w:rPr>
              <w:t>(Address Current and Emerging Needs</w:t>
            </w:r>
            <w:r w:rsidR="001C7728" w:rsidRPr="00291019">
              <w:rPr>
                <w:i/>
                <w:color w:val="000000"/>
              </w:rPr>
              <w:t>; Increase Opportunities for At-Risk Populations</w:t>
            </w:r>
            <w:r w:rsidRPr="00291019">
              <w:rPr>
                <w:i/>
                <w:color w:val="000000"/>
              </w:rPr>
              <w:t>)</w:t>
            </w:r>
          </w:p>
        </w:tc>
        <w:tc>
          <w:tcPr>
            <w:tcW w:w="724" w:type="dxa"/>
          </w:tcPr>
          <w:p w:rsidR="0074012D" w:rsidRPr="00291019" w:rsidRDefault="00AF3AB0" w:rsidP="009D0A9F">
            <w:pPr>
              <w:spacing w:beforeAutospacing="1" w:afterAutospacing="1"/>
              <w:rPr>
                <w:color w:val="000000"/>
              </w:rPr>
            </w:pPr>
            <w:r w:rsidRPr="00291019">
              <w:rPr>
                <w:color w:val="000000"/>
              </w:rPr>
              <w:t>201</w:t>
            </w:r>
            <w:r w:rsidR="009D0A9F" w:rsidRPr="00291019">
              <w:rPr>
                <w:color w:val="000000"/>
              </w:rPr>
              <w:t>5</w:t>
            </w:r>
          </w:p>
        </w:tc>
        <w:tc>
          <w:tcPr>
            <w:tcW w:w="634" w:type="dxa"/>
          </w:tcPr>
          <w:p w:rsidR="0074012D" w:rsidRPr="00291019" w:rsidRDefault="009D0A9F" w:rsidP="00DE1977">
            <w:pPr>
              <w:spacing w:beforeAutospacing="1" w:afterAutospacing="1"/>
              <w:rPr>
                <w:color w:val="000000"/>
              </w:rPr>
            </w:pPr>
            <w:r w:rsidRPr="00291019">
              <w:rPr>
                <w:color w:val="000000"/>
              </w:rPr>
              <w:t>2016</w:t>
            </w:r>
          </w:p>
        </w:tc>
        <w:tc>
          <w:tcPr>
            <w:tcW w:w="1449" w:type="dxa"/>
          </w:tcPr>
          <w:p w:rsidR="0074012D" w:rsidRPr="00291019" w:rsidRDefault="0074012D" w:rsidP="00AF3AB0">
            <w:pPr>
              <w:spacing w:beforeAutospacing="1" w:afterAutospacing="1"/>
            </w:pPr>
            <w:r w:rsidRPr="00291019">
              <w:rPr>
                <w:color w:val="000000"/>
              </w:rPr>
              <w:t>Affordable Housing</w:t>
            </w:r>
            <w:r w:rsidRPr="00291019">
              <w:rPr>
                <w:color w:val="000000"/>
              </w:rPr>
              <w:br/>
            </w:r>
          </w:p>
        </w:tc>
        <w:tc>
          <w:tcPr>
            <w:tcW w:w="1177" w:type="dxa"/>
          </w:tcPr>
          <w:p w:rsidR="0074012D" w:rsidRPr="00291019" w:rsidRDefault="00C426A5" w:rsidP="00DE1977">
            <w:pPr>
              <w:spacing w:beforeAutospacing="1" w:afterAutospacing="1"/>
            </w:pPr>
            <w:r w:rsidRPr="00291019">
              <w:t>Citywide</w:t>
            </w:r>
          </w:p>
        </w:tc>
        <w:tc>
          <w:tcPr>
            <w:tcW w:w="1901" w:type="dxa"/>
          </w:tcPr>
          <w:p w:rsidR="0074012D" w:rsidRPr="00291019" w:rsidRDefault="00C426A5" w:rsidP="00DE1977">
            <w:pPr>
              <w:spacing w:beforeAutospacing="1" w:afterAutospacing="1"/>
            </w:pPr>
            <w:r w:rsidRPr="00291019">
              <w:rPr>
                <w:color w:val="000000"/>
              </w:rPr>
              <w:t>Non-Housing Community Facilities and Services; Diversity of Housing Types</w:t>
            </w:r>
          </w:p>
        </w:tc>
        <w:tc>
          <w:tcPr>
            <w:tcW w:w="1539" w:type="dxa"/>
          </w:tcPr>
          <w:p w:rsidR="0074012D" w:rsidRPr="00291019" w:rsidRDefault="00C426A5" w:rsidP="00CC46F9">
            <w:pPr>
              <w:spacing w:beforeAutospacing="1" w:afterAutospacing="1"/>
              <w:rPr>
                <w:color w:val="000000"/>
              </w:rPr>
            </w:pPr>
            <w:r w:rsidRPr="00291019">
              <w:rPr>
                <w:color w:val="000000"/>
              </w:rPr>
              <w:t>CDBG                AHTF                 MFA Dev’t Funds HOME</w:t>
            </w:r>
            <w:r w:rsidR="00D157C7" w:rsidRPr="00291019">
              <w:rPr>
                <w:color w:val="000000"/>
              </w:rPr>
              <w:t>; Enterprise Green Community            New Market Tax Credits</w:t>
            </w:r>
            <w:r w:rsidRPr="00291019">
              <w:rPr>
                <w:color w:val="000000"/>
              </w:rPr>
              <w:t xml:space="preserve">    </w:t>
            </w:r>
          </w:p>
        </w:tc>
        <w:tc>
          <w:tcPr>
            <w:tcW w:w="1811" w:type="dxa"/>
          </w:tcPr>
          <w:p w:rsidR="0074012D" w:rsidRPr="00291019" w:rsidRDefault="00C426A5" w:rsidP="00DE1977">
            <w:pPr>
              <w:spacing w:beforeAutospacing="1" w:afterAutospacing="1"/>
            </w:pPr>
            <w:r w:rsidRPr="00291019">
              <w:rPr>
                <w:color w:val="000000"/>
              </w:rPr>
              <w:t xml:space="preserve">Public Facility or Infrastructure Activities other than Low/Moderate Housing Benefit; Public Service activities </w:t>
            </w:r>
          </w:p>
        </w:tc>
        <w:tc>
          <w:tcPr>
            <w:tcW w:w="2183" w:type="dxa"/>
          </w:tcPr>
          <w:p w:rsidR="0074012D" w:rsidRPr="00287A50" w:rsidRDefault="00340596" w:rsidP="009D0A9F">
            <w:pPr>
              <w:spacing w:beforeAutospacing="1" w:afterAutospacing="1"/>
              <w:rPr>
                <w:color w:val="000000"/>
              </w:rPr>
            </w:pPr>
            <w:r w:rsidRPr="00287A50">
              <w:rPr>
                <w:color w:val="000000"/>
              </w:rPr>
              <w:t>Facility improvement</w:t>
            </w:r>
            <w:r w:rsidR="00D157C7" w:rsidRPr="00287A50">
              <w:rPr>
                <w:color w:val="000000"/>
              </w:rPr>
              <w:t>s</w:t>
            </w:r>
            <w:r w:rsidRPr="00287A50">
              <w:rPr>
                <w:color w:val="000000"/>
              </w:rPr>
              <w:t xml:space="preserve"> supporting </w:t>
            </w:r>
            <w:r w:rsidR="00287A50" w:rsidRPr="00287A50">
              <w:rPr>
                <w:color w:val="000000"/>
              </w:rPr>
              <w:t>975 youth</w:t>
            </w:r>
            <w:r w:rsidRPr="00287A50">
              <w:rPr>
                <w:color w:val="000000"/>
              </w:rPr>
              <w:t xml:space="preserve"> </w:t>
            </w:r>
            <w:r w:rsidR="00287A50" w:rsidRPr="00287A50">
              <w:rPr>
                <w:color w:val="000000"/>
              </w:rPr>
              <w:t>(Youthworks) as energy efficiency improvement project.</w:t>
            </w:r>
          </w:p>
          <w:p w:rsidR="009D0A9F" w:rsidRPr="00D336A4" w:rsidRDefault="00287A50" w:rsidP="00287A50">
            <w:pPr>
              <w:spacing w:beforeAutospacing="1" w:afterAutospacing="1"/>
              <w:rPr>
                <w:color w:val="000000"/>
                <w:highlight w:val="yellow"/>
              </w:rPr>
            </w:pPr>
            <w:r w:rsidRPr="00287A50">
              <w:rPr>
                <w:color w:val="000000"/>
              </w:rPr>
              <w:t>Approx.. 238 women and children</w:t>
            </w:r>
            <w:r w:rsidR="00291019" w:rsidRPr="00287A50">
              <w:rPr>
                <w:color w:val="000000"/>
              </w:rPr>
              <w:t xml:space="preserve"> </w:t>
            </w:r>
            <w:r w:rsidR="009D0A9F" w:rsidRPr="00287A50">
              <w:rPr>
                <w:color w:val="000000"/>
              </w:rPr>
              <w:t>served at St. Elizabeth’s Casa Familia Shelter</w:t>
            </w:r>
          </w:p>
        </w:tc>
      </w:tr>
    </w:tbl>
    <w:p w:rsidR="00B11EC1" w:rsidRDefault="00B11EC1">
      <w:pPr>
        <w:rPr>
          <w:b/>
          <w:i/>
          <w:sz w:val="26"/>
          <w:szCs w:val="26"/>
        </w:rPr>
      </w:pPr>
    </w:p>
    <w:p w:rsidR="00B11EC1" w:rsidRDefault="00B11EC1">
      <w:pPr>
        <w:rPr>
          <w:b/>
          <w:i/>
          <w:sz w:val="26"/>
          <w:szCs w:val="26"/>
        </w:rPr>
      </w:pPr>
    </w:p>
    <w:p w:rsidR="00B11EC1" w:rsidRDefault="00B11EC1">
      <w:pPr>
        <w:rPr>
          <w:b/>
          <w:i/>
          <w:sz w:val="26"/>
          <w:szCs w:val="26"/>
        </w:rPr>
      </w:pPr>
    </w:p>
    <w:p w:rsidR="00B11EC1" w:rsidRDefault="00B11EC1">
      <w:pPr>
        <w:rPr>
          <w:b/>
          <w:i/>
          <w:sz w:val="26"/>
          <w:szCs w:val="26"/>
        </w:rPr>
      </w:pPr>
    </w:p>
    <w:p w:rsidR="00B11EC1" w:rsidRDefault="00B11EC1">
      <w:pPr>
        <w:rPr>
          <w:b/>
          <w:i/>
          <w:sz w:val="26"/>
          <w:szCs w:val="26"/>
        </w:rPr>
      </w:pPr>
    </w:p>
    <w:p w:rsidR="00B11EC1" w:rsidRDefault="00B11EC1">
      <w:pPr>
        <w:rPr>
          <w:b/>
          <w:i/>
          <w:sz w:val="26"/>
          <w:szCs w:val="26"/>
        </w:rPr>
      </w:pPr>
    </w:p>
    <w:p w:rsidR="00B11EC1" w:rsidRDefault="00B11EC1">
      <w:pPr>
        <w:rPr>
          <w:b/>
          <w:i/>
          <w:sz w:val="26"/>
          <w:szCs w:val="26"/>
        </w:rPr>
        <w:sectPr w:rsidR="00B11EC1" w:rsidSect="00F53981">
          <w:pgSz w:w="15840" w:h="12240" w:orient="landscape"/>
          <w:pgMar w:top="1080" w:right="1440" w:bottom="1440" w:left="1440" w:header="720" w:footer="720" w:gutter="0"/>
          <w:cols w:space="720"/>
          <w:docGrid w:linePitch="360"/>
        </w:sectPr>
      </w:pPr>
    </w:p>
    <w:p w:rsidR="00A36191" w:rsidRPr="00AA2771" w:rsidRDefault="00A36191">
      <w:pPr>
        <w:rPr>
          <w:b/>
          <w:sz w:val="24"/>
          <w:szCs w:val="24"/>
        </w:rPr>
      </w:pPr>
      <w:r w:rsidRPr="00AA2771">
        <w:rPr>
          <w:b/>
          <w:sz w:val="24"/>
          <w:szCs w:val="24"/>
        </w:rPr>
        <w:lastRenderedPageBreak/>
        <w:t>Narrative:</w:t>
      </w:r>
    </w:p>
    <w:p w:rsidR="00A36191" w:rsidRPr="00454698" w:rsidRDefault="00A36191">
      <w:r w:rsidRPr="00454698">
        <w:rPr>
          <w:b/>
        </w:rPr>
        <w:t xml:space="preserve">Goal I:  </w:t>
      </w:r>
      <w:r w:rsidR="00D21D33" w:rsidRPr="00454698">
        <w:t xml:space="preserve">Reduced rate of households with cost burden and corresponding drop in poverty rates for homeless and those in danger of becoming homeless </w:t>
      </w:r>
      <w:r w:rsidR="00D21D33" w:rsidRPr="00454698">
        <w:rPr>
          <w:i/>
        </w:rPr>
        <w:t>(Increase Opportunities for At Risk Populations; Address Current and Emerging Needs)</w:t>
      </w:r>
      <w:r w:rsidR="00454698">
        <w:rPr>
          <w:i/>
        </w:rPr>
        <w:t>.</w:t>
      </w:r>
      <w:r w:rsidR="00D21D33" w:rsidRPr="00454698">
        <w:rPr>
          <w:i/>
        </w:rPr>
        <w:t xml:space="preserve"> </w:t>
      </w:r>
      <w:r w:rsidRPr="00454698">
        <w:t xml:space="preserve">For </w:t>
      </w:r>
      <w:r w:rsidR="00947BFA" w:rsidRPr="00454698">
        <w:t xml:space="preserve">CDBG-funded </w:t>
      </w:r>
      <w:r w:rsidRPr="00454698">
        <w:t>Public Se</w:t>
      </w:r>
      <w:r w:rsidR="00947BFA" w:rsidRPr="00454698">
        <w:t xml:space="preserve">rvice Activities </w:t>
      </w:r>
      <w:r w:rsidRPr="00454698">
        <w:t>Adelante</w:t>
      </w:r>
      <w:r w:rsidR="00454698">
        <w:t xml:space="preserve"> served 440 Santa Fe Public Schools homeless or at risk of becoming homeless students</w:t>
      </w:r>
      <w:r w:rsidRPr="00454698">
        <w:t xml:space="preserve"> </w:t>
      </w:r>
      <w:r w:rsidR="00454698">
        <w:t xml:space="preserve">and their families which </w:t>
      </w:r>
      <w:r w:rsidRPr="00454698">
        <w:t>exceeded t</w:t>
      </w:r>
      <w:r w:rsidR="00454698">
        <w:t xml:space="preserve">he </w:t>
      </w:r>
      <w:r w:rsidRPr="00454698">
        <w:t xml:space="preserve">proposed </w:t>
      </w:r>
      <w:r w:rsidR="00154E75" w:rsidRPr="00454698">
        <w:t>(</w:t>
      </w:r>
      <w:r w:rsidR="005D380C" w:rsidRPr="00454698">
        <w:t>4</w:t>
      </w:r>
      <w:r w:rsidR="00454698">
        <w:t>0</w:t>
      </w:r>
      <w:r w:rsidR="005D380C" w:rsidRPr="00454698">
        <w:t>0</w:t>
      </w:r>
      <w:r w:rsidR="00154E75" w:rsidRPr="00454698">
        <w:t>)</w:t>
      </w:r>
      <w:r w:rsidR="005D380C" w:rsidRPr="00454698">
        <w:t xml:space="preserve"> for a </w:t>
      </w:r>
      <w:r w:rsidR="00454698">
        <w:t xml:space="preserve">third </w:t>
      </w:r>
      <w:r w:rsidR="005D380C" w:rsidRPr="00454698">
        <w:t>year in a row</w:t>
      </w:r>
      <w:r w:rsidR="00454698">
        <w:t xml:space="preserve">. </w:t>
      </w:r>
      <w:r w:rsidR="00947BFA" w:rsidRPr="00454698">
        <w:t xml:space="preserve">Kitchen Angels </w:t>
      </w:r>
      <w:r w:rsidR="00454698">
        <w:t xml:space="preserve">proposed serving </w:t>
      </w:r>
      <w:r w:rsidR="008066C1" w:rsidRPr="00454698">
        <w:t xml:space="preserve">home-delivered </w:t>
      </w:r>
      <w:r w:rsidR="00947BFA" w:rsidRPr="00454698">
        <w:t xml:space="preserve">meals to Santa Fe’s lower-income chronically ill, homebound residents </w:t>
      </w:r>
      <w:r w:rsidR="00454698">
        <w:t xml:space="preserve">to 30 new clients and exceeded the goal by adding a total of 216 clients </w:t>
      </w:r>
      <w:r w:rsidR="00947BFA" w:rsidRPr="00454698">
        <w:t xml:space="preserve">for a total of </w:t>
      </w:r>
      <w:r w:rsidR="00454698">
        <w:t>683</w:t>
      </w:r>
      <w:r w:rsidR="00947BFA" w:rsidRPr="00454698">
        <w:t xml:space="preserve"> clients</w:t>
      </w:r>
      <w:r w:rsidR="005D380C" w:rsidRPr="00454698">
        <w:t>.</w:t>
      </w:r>
      <w:r w:rsidR="00454698">
        <w:t xml:space="preserve"> </w:t>
      </w:r>
      <w:r w:rsidR="00F1742B">
        <w:t xml:space="preserve">Youthworks provided tutoring, job training and placement and other referral services to 974 disconnected, homeless and/or at risk young people. </w:t>
      </w:r>
      <w:r w:rsidR="00454698">
        <w:t>The street outreach program reached 412 youth living on the street and provided basic medical care, food, clothing and referral services.</w:t>
      </w:r>
    </w:p>
    <w:p w:rsidR="00947BFA" w:rsidRPr="00454698" w:rsidRDefault="00947BFA">
      <w:r w:rsidRPr="00454698">
        <w:rPr>
          <w:b/>
        </w:rPr>
        <w:t xml:space="preserve">Goal II:  </w:t>
      </w:r>
      <w:r w:rsidR="00D21D33" w:rsidRPr="00454698">
        <w:rPr>
          <w:color w:val="000000"/>
        </w:rPr>
        <w:t xml:space="preserve">Inventory of rental units and vouchers expanded to meet increased demand </w:t>
      </w:r>
      <w:r w:rsidR="00D21D33" w:rsidRPr="00454698">
        <w:rPr>
          <w:i/>
          <w:color w:val="000000"/>
        </w:rPr>
        <w:t xml:space="preserve">(Increase Affordable Housing Opportunities): </w:t>
      </w:r>
      <w:r w:rsidR="00454698">
        <w:t>Shelter Plus Care</w:t>
      </w:r>
      <w:r w:rsidRPr="00454698">
        <w:t xml:space="preserve"> (</w:t>
      </w:r>
      <w:r w:rsidR="00454698">
        <w:t>SPC</w:t>
      </w:r>
      <w:r w:rsidRPr="00454698">
        <w:t xml:space="preserve">) </w:t>
      </w:r>
      <w:r w:rsidR="00FD018C">
        <w:t xml:space="preserve">assistance was used to support 12 units at the Village Sage and Stagecoach Apartments for people transitioning out of homelessness and four units at the Siringo Senior Apartments were also supported. </w:t>
      </w:r>
      <w:r w:rsidR="005D380C" w:rsidRPr="00454698">
        <w:t>As was the case last year, no</w:t>
      </w:r>
      <w:r w:rsidRPr="00454698">
        <w:t xml:space="preserve"> new </w:t>
      </w:r>
      <w:r w:rsidR="00C353A8" w:rsidRPr="00454698">
        <w:t xml:space="preserve">rental inventory was expanded utilizing </w:t>
      </w:r>
      <w:r w:rsidR="005D380C" w:rsidRPr="00454698">
        <w:t>CDBG funds in this program year</w:t>
      </w:r>
      <w:r w:rsidR="00FD018C">
        <w:t>. The Housing Trust’s proposed project for the Las Soleras subdivision, Las Soleras Station was awarded subsidy through the Low Income Housing Tax Credits (LIHTC) program and will begin construction in the upcoming year. While not funded in 2017, p</w:t>
      </w:r>
      <w:r w:rsidR="005D380C" w:rsidRPr="00454698">
        <w:t>lanning continues for the Arts+Creativity Center</w:t>
      </w:r>
      <w:r w:rsidR="002A06CE" w:rsidRPr="00454698">
        <w:t xml:space="preserve"> for up to </w:t>
      </w:r>
      <w:r w:rsidR="00FD018C">
        <w:t>50 LMI live/work apartments sited on a parcel of city-owned land and an application will be submitted for LIHTC for the 2018 award</w:t>
      </w:r>
      <w:r w:rsidR="005D380C" w:rsidRPr="00454698">
        <w:t>.</w:t>
      </w:r>
    </w:p>
    <w:p w:rsidR="00A178E5" w:rsidRPr="00FD018C" w:rsidRDefault="00C353A8" w:rsidP="00962CDA">
      <w:r w:rsidRPr="00FD018C">
        <w:rPr>
          <w:b/>
        </w:rPr>
        <w:t xml:space="preserve">Goal III: </w:t>
      </w:r>
      <w:r w:rsidR="00D21D33" w:rsidRPr="00FD018C">
        <w:rPr>
          <w:color w:val="000000"/>
        </w:rPr>
        <w:t xml:space="preserve">Increased homeownership opportunities </w:t>
      </w:r>
      <w:r w:rsidR="00D21D33" w:rsidRPr="00FD018C">
        <w:rPr>
          <w:i/>
          <w:color w:val="000000"/>
          <w:u w:val="single"/>
        </w:rPr>
        <w:t>and</w:t>
      </w:r>
      <w:r w:rsidR="00D21D33" w:rsidRPr="00FD018C">
        <w:rPr>
          <w:color w:val="000000"/>
        </w:rPr>
        <w:t xml:space="preserve"> support for long-term affordability and accessibility for current homeowners </w:t>
      </w:r>
      <w:r w:rsidR="00D21D33" w:rsidRPr="00FD018C">
        <w:rPr>
          <w:i/>
          <w:color w:val="000000"/>
        </w:rPr>
        <w:t>(Increase Af</w:t>
      </w:r>
      <w:r w:rsidR="00FD018C" w:rsidRPr="00FD018C">
        <w:rPr>
          <w:i/>
          <w:color w:val="000000"/>
        </w:rPr>
        <w:t>fordable Housing Opportunities).</w:t>
      </w:r>
      <w:r w:rsidRPr="00FD018C">
        <w:rPr>
          <w:b/>
        </w:rPr>
        <w:t xml:space="preserve"> </w:t>
      </w:r>
      <w:r w:rsidRPr="00FD018C">
        <w:t>Down Payment Assistance (DPA) exceeded overall program goals</w:t>
      </w:r>
      <w:r w:rsidR="00FD018C">
        <w:t>, as both Homewise and the Housing Trust were able to use program income to provide a total of 31 DPA loans, compared to the 11 proposed in their applications.</w:t>
      </w:r>
      <w:r w:rsidR="00332DD3" w:rsidRPr="00FD018C">
        <w:t xml:space="preserve">  </w:t>
      </w:r>
      <w:r w:rsidR="00F1742B">
        <w:t xml:space="preserve">Goals for home improvement were also exceeded: Homewise supported 9 projects (7 proposed) and Habitat repaired 16 homes (8 proposed). Part of the reason for Habitat’s highly successful outcome is that the funds are used increasing for smaller cost projects that address basic and emergency repairs, serving a preponderance of older, fixed-income households. </w:t>
      </w:r>
      <w:r w:rsidR="00332DD3" w:rsidRPr="00FD018C">
        <w:t xml:space="preserve">For </w:t>
      </w:r>
      <w:r w:rsidR="009C4D05" w:rsidRPr="00FD018C">
        <w:t>strategic plan goal titled “</w:t>
      </w:r>
      <w:r w:rsidR="00332DD3" w:rsidRPr="00FD018C">
        <w:t>refinancing services and support for current homeowners</w:t>
      </w:r>
      <w:r w:rsidR="009C4D05" w:rsidRPr="00FD018C">
        <w:t>”</w:t>
      </w:r>
      <w:r w:rsidR="00332DD3" w:rsidRPr="00FD018C">
        <w:t xml:space="preserve">, the city </w:t>
      </w:r>
      <w:r w:rsidR="00981395" w:rsidRPr="00FD018C">
        <w:t>was</w:t>
      </w:r>
      <w:r w:rsidR="00332DD3" w:rsidRPr="00FD018C">
        <w:t xml:space="preserve"> under contract</w:t>
      </w:r>
      <w:r w:rsidR="00981395" w:rsidRPr="00FD018C">
        <w:t xml:space="preserve"> in 201</w:t>
      </w:r>
      <w:r w:rsidR="00FD018C">
        <w:t>5</w:t>
      </w:r>
      <w:r w:rsidR="00981395" w:rsidRPr="00FD018C">
        <w:t>-201</w:t>
      </w:r>
      <w:r w:rsidR="00FD018C">
        <w:t>6</w:t>
      </w:r>
      <w:r w:rsidR="00981395" w:rsidRPr="00FD018C">
        <w:t xml:space="preserve"> </w:t>
      </w:r>
      <w:r w:rsidR="00332DD3" w:rsidRPr="00FD018C">
        <w:t xml:space="preserve">with </w:t>
      </w:r>
      <w:r w:rsidR="00FD018C">
        <w:t>New Mexico Legal Aid</w:t>
      </w:r>
      <w:r w:rsidR="00332DD3" w:rsidRPr="00FD018C">
        <w:t xml:space="preserve"> who provided homeowner foreclosure assistance</w:t>
      </w:r>
      <w:r w:rsidR="00FD018C">
        <w:t xml:space="preserve"> which assisted 6 homeowners, rather than the 22 proposed, and only expended about 30% of funding allocated to the project. This underperformance is likely a reflection of Santa Fe’s improving economy and housing market</w:t>
      </w:r>
      <w:r w:rsidR="00981395" w:rsidRPr="00FD018C">
        <w:t>.</w:t>
      </w:r>
      <w:r w:rsidR="009C4D05" w:rsidRPr="00FD018C">
        <w:t xml:space="preserve">  Lastly,</w:t>
      </w:r>
      <w:r w:rsidR="00FD018C">
        <w:t xml:space="preserve"> for strategic plan goal titled</w:t>
      </w:r>
      <w:r w:rsidR="009C4D05" w:rsidRPr="00FD018C">
        <w:t xml:space="preserve"> </w:t>
      </w:r>
      <w:r w:rsidR="00FD018C">
        <w:t>“</w:t>
      </w:r>
      <w:r w:rsidR="009C4D05" w:rsidRPr="00FD018C">
        <w:t>construction of affordably-priced homes for homeownership</w:t>
      </w:r>
      <w:r w:rsidR="00FD018C">
        <w:t>”,</w:t>
      </w:r>
      <w:r w:rsidR="009C4D05" w:rsidRPr="00FD018C">
        <w:t xml:space="preserve"> CDBG funding </w:t>
      </w:r>
      <w:r w:rsidR="00981395" w:rsidRPr="00FD018C">
        <w:t xml:space="preserve">was </w:t>
      </w:r>
      <w:r w:rsidR="00FD018C">
        <w:t xml:space="preserve">not </w:t>
      </w:r>
      <w:r w:rsidR="00981395" w:rsidRPr="00FD018C">
        <w:t>allocated</w:t>
      </w:r>
      <w:r w:rsidR="009C4D05" w:rsidRPr="00FD018C">
        <w:t xml:space="preserve"> toward this </w:t>
      </w:r>
      <w:r w:rsidR="00981395" w:rsidRPr="00FD018C">
        <w:t>goal as no funding applications were made for construction.</w:t>
      </w:r>
    </w:p>
    <w:p w:rsidR="00C353A8" w:rsidRPr="00A36191" w:rsidRDefault="00A178E5">
      <w:pPr>
        <w:sectPr w:rsidR="00C353A8" w:rsidRPr="00A36191" w:rsidSect="00B11EC1">
          <w:pgSz w:w="12240" w:h="15840"/>
          <w:pgMar w:top="1440" w:right="1440" w:bottom="1440" w:left="1080" w:header="720" w:footer="720" w:gutter="0"/>
          <w:cols w:space="720"/>
          <w:docGrid w:linePitch="360"/>
        </w:sectPr>
      </w:pPr>
      <w:r w:rsidRPr="00F1742B">
        <w:rPr>
          <w:b/>
        </w:rPr>
        <w:t xml:space="preserve">Goal IV:   </w:t>
      </w:r>
      <w:r w:rsidR="00D21D33" w:rsidRPr="00F1742B">
        <w:rPr>
          <w:color w:val="000000"/>
        </w:rPr>
        <w:t xml:space="preserve">Housing Opportunities reflect emerging needs, changing demographics and are aligned with redevelopment projects, economic development objectives and sustainability goals </w:t>
      </w:r>
      <w:r w:rsidR="00D21D33" w:rsidRPr="00F1742B">
        <w:rPr>
          <w:i/>
          <w:color w:val="000000"/>
        </w:rPr>
        <w:t>(Address Current and Emerging Needs; Increase Opportunities for At-Risk Populations):</w:t>
      </w:r>
      <w:r w:rsidR="00F1742B">
        <w:rPr>
          <w:i/>
          <w:color w:val="000000"/>
        </w:rPr>
        <w:t xml:space="preserve"> </w:t>
      </w:r>
      <w:r w:rsidR="00F1742B">
        <w:rPr>
          <w:color w:val="000000"/>
        </w:rPr>
        <w:t xml:space="preserve">Facility improvements to the Youthworks office that replaced its aging roof is part of a long-term energy-efficiency overhaul for the building which served 975 youth over the program year. Similarly, the facility upgrades at the Casa Familia shelter will </w:t>
      </w:r>
      <w:r w:rsidR="00F1742B">
        <w:rPr>
          <w:color w:val="000000"/>
        </w:rPr>
        <w:lastRenderedPageBreak/>
        <w:t>increase security, safety and functionality of the space to improve overall program performance. For the 2016-17 year, 238 women and children were provided shelter, food, clothing, counseling and referral services.</w:t>
      </w:r>
      <w:r w:rsidR="00D21D33" w:rsidRPr="00D336A4">
        <w:rPr>
          <w:i/>
          <w:color w:val="000000"/>
          <w:highlight w:val="yellow"/>
        </w:rPr>
        <w:t xml:space="preserve"> </w:t>
      </w:r>
    </w:p>
    <w:tbl>
      <w:tblPr>
        <w:tblStyle w:val="TableGrid"/>
        <w:tblpPr w:leftFromText="180" w:rightFromText="180" w:vertAnchor="page" w:horzAnchor="margin" w:tblpY="1417"/>
        <w:tblW w:w="9720" w:type="dxa"/>
        <w:tblInd w:w="0" w:type="dxa"/>
        <w:tblLayout w:type="fixed"/>
        <w:tblLook w:val="00A0" w:firstRow="1" w:lastRow="0" w:firstColumn="1" w:lastColumn="0" w:noHBand="0" w:noVBand="0"/>
      </w:tblPr>
      <w:tblGrid>
        <w:gridCol w:w="630"/>
        <w:gridCol w:w="3420"/>
        <w:gridCol w:w="64"/>
        <w:gridCol w:w="26"/>
        <w:gridCol w:w="90"/>
        <w:gridCol w:w="922"/>
        <w:gridCol w:w="42"/>
        <w:gridCol w:w="116"/>
        <w:gridCol w:w="1044"/>
        <w:gridCol w:w="126"/>
        <w:gridCol w:w="90"/>
        <w:gridCol w:w="1260"/>
        <w:gridCol w:w="270"/>
        <w:gridCol w:w="14"/>
        <w:gridCol w:w="1606"/>
      </w:tblGrid>
      <w:tr w:rsidR="00AA2771" w:rsidRPr="007F26A9" w:rsidTr="00AA2771">
        <w:trPr>
          <w:trHeight w:val="279"/>
        </w:trPr>
        <w:tc>
          <w:tcPr>
            <w:tcW w:w="9720" w:type="dxa"/>
            <w:gridSpan w:val="15"/>
          </w:tcPr>
          <w:p w:rsidR="00AA2771" w:rsidRPr="007F26A9" w:rsidRDefault="00AA2771" w:rsidP="007F26A9">
            <w:pPr>
              <w:widowControl w:val="0"/>
              <w:spacing w:before="100" w:beforeAutospacing="1" w:after="100" w:afterAutospacing="1" w:line="360" w:lineRule="auto"/>
              <w:rPr>
                <w:b/>
                <w:sz w:val="19"/>
              </w:rPr>
            </w:pPr>
            <w:bookmarkStart w:id="3" w:name="_Toc309810474"/>
            <w:r w:rsidRPr="007F26A9">
              <w:rPr>
                <w:b/>
                <w:sz w:val="19"/>
              </w:rPr>
              <w:lastRenderedPageBreak/>
              <w:t>Prior Year and Current Year Programs In Progress as of 6/30/201</w:t>
            </w:r>
            <w:r w:rsidR="007F26A9" w:rsidRPr="007F26A9">
              <w:rPr>
                <w:b/>
                <w:sz w:val="19"/>
              </w:rPr>
              <w:t>7</w:t>
            </w:r>
          </w:p>
        </w:tc>
      </w:tr>
      <w:tr w:rsidR="00AA2771" w:rsidRPr="007F26A9" w:rsidTr="00AA2771">
        <w:trPr>
          <w:trHeight w:val="530"/>
        </w:trPr>
        <w:tc>
          <w:tcPr>
            <w:tcW w:w="630" w:type="dxa"/>
            <w:vMerge w:val="restart"/>
          </w:tcPr>
          <w:p w:rsidR="00AA2771" w:rsidRPr="007F26A9" w:rsidRDefault="00AA2771" w:rsidP="00AA2771">
            <w:pPr>
              <w:widowControl w:val="0"/>
              <w:spacing w:before="100" w:beforeAutospacing="1" w:after="100" w:afterAutospacing="1" w:line="360" w:lineRule="auto"/>
              <w:rPr>
                <w:b/>
                <w:sz w:val="19"/>
              </w:rPr>
            </w:pPr>
            <w:r w:rsidRPr="007F26A9">
              <w:rPr>
                <w:b/>
                <w:sz w:val="19"/>
              </w:rPr>
              <w:t>2014 and 2015</w:t>
            </w:r>
          </w:p>
          <w:p w:rsidR="00AA2771" w:rsidRPr="007F26A9" w:rsidRDefault="00AA2771" w:rsidP="00AA2771">
            <w:pPr>
              <w:widowControl w:val="0"/>
              <w:spacing w:before="100" w:beforeAutospacing="1" w:after="100" w:afterAutospacing="1" w:line="360" w:lineRule="auto"/>
              <w:rPr>
                <w:b/>
                <w:sz w:val="19"/>
              </w:rPr>
            </w:pPr>
          </w:p>
        </w:tc>
        <w:tc>
          <w:tcPr>
            <w:tcW w:w="3510" w:type="dxa"/>
            <w:gridSpan w:val="3"/>
          </w:tcPr>
          <w:p w:rsidR="00AA2771" w:rsidRPr="007F26A9" w:rsidRDefault="00AA2771" w:rsidP="00AA2771">
            <w:pPr>
              <w:widowControl w:val="0"/>
              <w:spacing w:before="100" w:beforeAutospacing="1" w:after="100" w:afterAutospacing="1" w:line="360" w:lineRule="auto"/>
              <w:rPr>
                <w:b/>
                <w:sz w:val="19"/>
              </w:rPr>
            </w:pPr>
            <w:r w:rsidRPr="007F26A9">
              <w:rPr>
                <w:b/>
                <w:sz w:val="19"/>
              </w:rPr>
              <w:t xml:space="preserve">Homewise Rehab (Activity ID 291) </w:t>
            </w:r>
          </w:p>
        </w:tc>
        <w:tc>
          <w:tcPr>
            <w:tcW w:w="1012" w:type="dxa"/>
            <w:gridSpan w:val="2"/>
          </w:tcPr>
          <w:p w:rsidR="00AA2771" w:rsidRPr="007F26A9" w:rsidRDefault="00AA2771" w:rsidP="00AA2771">
            <w:pPr>
              <w:widowControl w:val="0"/>
              <w:spacing w:before="100" w:beforeAutospacing="1" w:after="100" w:afterAutospacing="1" w:line="360" w:lineRule="auto"/>
              <w:rPr>
                <w:b/>
                <w:sz w:val="19"/>
              </w:rPr>
            </w:pPr>
            <w:r w:rsidRPr="007F26A9">
              <w:rPr>
                <w:b/>
                <w:sz w:val="19"/>
              </w:rPr>
              <w:t>Starting Balance</w:t>
            </w:r>
          </w:p>
        </w:tc>
        <w:tc>
          <w:tcPr>
            <w:tcW w:w="1202" w:type="dxa"/>
            <w:gridSpan w:val="3"/>
          </w:tcPr>
          <w:p w:rsidR="00AA2771" w:rsidRPr="007F26A9" w:rsidRDefault="00AA2771" w:rsidP="00AA2771">
            <w:pPr>
              <w:widowControl w:val="0"/>
              <w:spacing w:before="100" w:beforeAutospacing="1" w:after="100" w:afterAutospacing="1" w:line="360" w:lineRule="auto"/>
              <w:rPr>
                <w:b/>
                <w:sz w:val="19"/>
              </w:rPr>
            </w:pPr>
            <w:r w:rsidRPr="007F26A9">
              <w:rPr>
                <w:b/>
                <w:sz w:val="19"/>
              </w:rPr>
              <w:t>$ Unspent</w:t>
            </w:r>
          </w:p>
        </w:tc>
        <w:tc>
          <w:tcPr>
            <w:tcW w:w="1760" w:type="dxa"/>
            <w:gridSpan w:val="5"/>
          </w:tcPr>
          <w:p w:rsidR="00AA2771" w:rsidRPr="007F26A9" w:rsidRDefault="00AA2771" w:rsidP="00AA2771">
            <w:pPr>
              <w:widowControl w:val="0"/>
              <w:spacing w:before="100" w:beforeAutospacing="1" w:after="100" w:afterAutospacing="1" w:line="240" w:lineRule="auto"/>
              <w:rPr>
                <w:b/>
                <w:sz w:val="19"/>
              </w:rPr>
            </w:pPr>
            <w:r w:rsidRPr="007F26A9">
              <w:rPr>
                <w:b/>
                <w:sz w:val="19"/>
              </w:rPr>
              <w:t>Minimum Per Contract</w:t>
            </w:r>
          </w:p>
        </w:tc>
        <w:tc>
          <w:tcPr>
            <w:tcW w:w="1606" w:type="dxa"/>
          </w:tcPr>
          <w:p w:rsidR="00AA2771" w:rsidRPr="007F26A9" w:rsidRDefault="00AA2771" w:rsidP="00AA2771">
            <w:pPr>
              <w:widowControl w:val="0"/>
              <w:spacing w:before="100" w:beforeAutospacing="1" w:after="100" w:afterAutospacing="1" w:line="360" w:lineRule="auto"/>
              <w:rPr>
                <w:b/>
                <w:sz w:val="19"/>
              </w:rPr>
            </w:pPr>
            <w:r w:rsidRPr="007F26A9">
              <w:rPr>
                <w:b/>
                <w:sz w:val="19"/>
              </w:rPr>
              <w:t>Total # Loans</w:t>
            </w:r>
          </w:p>
        </w:tc>
      </w:tr>
      <w:tr w:rsidR="00AA2771" w:rsidRPr="007F26A9" w:rsidTr="00AA2771">
        <w:trPr>
          <w:trHeight w:val="182"/>
        </w:trPr>
        <w:tc>
          <w:tcPr>
            <w:tcW w:w="630" w:type="dxa"/>
            <w:vMerge/>
          </w:tcPr>
          <w:p w:rsidR="00AA2771" w:rsidRPr="007F26A9" w:rsidRDefault="00AA2771" w:rsidP="00AA2771">
            <w:pPr>
              <w:widowControl w:val="0"/>
              <w:spacing w:before="100" w:beforeAutospacing="1" w:after="100" w:afterAutospacing="1" w:line="360" w:lineRule="auto"/>
              <w:rPr>
                <w:sz w:val="19"/>
              </w:rPr>
            </w:pPr>
          </w:p>
        </w:tc>
        <w:tc>
          <w:tcPr>
            <w:tcW w:w="3484" w:type="dxa"/>
            <w:gridSpan w:val="2"/>
          </w:tcPr>
          <w:p w:rsidR="00AA2771" w:rsidRPr="007F26A9" w:rsidRDefault="00AA2771" w:rsidP="00AA2771">
            <w:pPr>
              <w:widowControl w:val="0"/>
              <w:spacing w:before="100" w:beforeAutospacing="1" w:after="100" w:afterAutospacing="1" w:line="360" w:lineRule="auto"/>
              <w:rPr>
                <w:sz w:val="19"/>
                <w:szCs w:val="19"/>
              </w:rPr>
            </w:pPr>
            <w:r w:rsidRPr="007F26A9">
              <w:rPr>
                <w:sz w:val="19"/>
                <w:szCs w:val="19"/>
              </w:rPr>
              <w:t>2014 Original Allocation (Entitlement Funding)</w:t>
            </w:r>
          </w:p>
        </w:tc>
        <w:tc>
          <w:tcPr>
            <w:tcW w:w="1038" w:type="dxa"/>
            <w:gridSpan w:val="3"/>
          </w:tcPr>
          <w:p w:rsidR="00AA2771" w:rsidRPr="007F26A9" w:rsidRDefault="00AA2771" w:rsidP="00AA2771">
            <w:pPr>
              <w:widowControl w:val="0"/>
              <w:spacing w:before="100" w:beforeAutospacing="1" w:after="100" w:afterAutospacing="1" w:line="360" w:lineRule="auto"/>
              <w:rPr>
                <w:sz w:val="19"/>
              </w:rPr>
            </w:pPr>
            <w:r w:rsidRPr="007F26A9">
              <w:rPr>
                <w:sz w:val="19"/>
              </w:rPr>
              <w:t>$40,000</w:t>
            </w:r>
          </w:p>
        </w:tc>
        <w:tc>
          <w:tcPr>
            <w:tcW w:w="1202" w:type="dxa"/>
            <w:gridSpan w:val="3"/>
            <w:shd w:val="clear" w:color="auto" w:fill="FFFFFF" w:themeFill="background1"/>
          </w:tcPr>
          <w:p w:rsidR="00AA2771" w:rsidRPr="007F26A9" w:rsidRDefault="00AA2771" w:rsidP="00AA2771">
            <w:pPr>
              <w:widowControl w:val="0"/>
              <w:spacing w:before="100" w:beforeAutospacing="1" w:after="100" w:afterAutospacing="1" w:line="360" w:lineRule="auto"/>
              <w:rPr>
                <w:sz w:val="19"/>
              </w:rPr>
            </w:pPr>
            <w:r w:rsidRPr="007F26A9">
              <w:rPr>
                <w:sz w:val="19"/>
              </w:rPr>
              <w:t>$40,000</w:t>
            </w:r>
          </w:p>
        </w:tc>
        <w:tc>
          <w:tcPr>
            <w:tcW w:w="1760" w:type="dxa"/>
            <w:gridSpan w:val="5"/>
            <w:vMerge w:val="restart"/>
          </w:tcPr>
          <w:p w:rsidR="00AA2771" w:rsidRPr="007F26A9" w:rsidRDefault="00AA2771" w:rsidP="00AA2771">
            <w:pPr>
              <w:widowControl w:val="0"/>
              <w:spacing w:before="100" w:beforeAutospacing="1" w:after="100" w:afterAutospacing="1" w:line="360" w:lineRule="auto"/>
              <w:rPr>
                <w:sz w:val="19"/>
              </w:rPr>
            </w:pPr>
            <w:r w:rsidRPr="007F26A9">
              <w:rPr>
                <w:sz w:val="19"/>
              </w:rPr>
              <w:t>3-6 units (current extended 2014 contract)</w:t>
            </w:r>
          </w:p>
        </w:tc>
        <w:tc>
          <w:tcPr>
            <w:tcW w:w="1606" w:type="dxa"/>
          </w:tcPr>
          <w:p w:rsidR="00AA2771" w:rsidRPr="007F26A9" w:rsidRDefault="00AA2771" w:rsidP="00AA2771">
            <w:pPr>
              <w:widowControl w:val="0"/>
              <w:spacing w:before="100" w:beforeAutospacing="1" w:after="100" w:afterAutospacing="1" w:line="360" w:lineRule="auto"/>
              <w:rPr>
                <w:sz w:val="19"/>
              </w:rPr>
            </w:pPr>
            <w:r w:rsidRPr="007F26A9">
              <w:rPr>
                <w:sz w:val="19"/>
              </w:rPr>
              <w:t>0 units</w:t>
            </w:r>
          </w:p>
        </w:tc>
      </w:tr>
      <w:tr w:rsidR="00AA2771" w:rsidRPr="007F26A9" w:rsidTr="00AA2771">
        <w:trPr>
          <w:trHeight w:val="139"/>
        </w:trPr>
        <w:tc>
          <w:tcPr>
            <w:tcW w:w="630" w:type="dxa"/>
            <w:vMerge/>
          </w:tcPr>
          <w:p w:rsidR="00AA2771" w:rsidRPr="007F26A9" w:rsidRDefault="00AA2771" w:rsidP="00AA2771">
            <w:pPr>
              <w:widowControl w:val="0"/>
              <w:spacing w:before="100" w:beforeAutospacing="1" w:after="100" w:afterAutospacing="1" w:line="360" w:lineRule="auto"/>
              <w:rPr>
                <w:sz w:val="19"/>
              </w:rPr>
            </w:pPr>
          </w:p>
        </w:tc>
        <w:tc>
          <w:tcPr>
            <w:tcW w:w="3484" w:type="dxa"/>
            <w:gridSpan w:val="2"/>
            <w:vMerge w:val="restart"/>
          </w:tcPr>
          <w:p w:rsidR="00AA2771" w:rsidRPr="007F26A9" w:rsidRDefault="00AA2771" w:rsidP="00AA2771">
            <w:pPr>
              <w:widowControl w:val="0"/>
              <w:spacing w:before="100" w:beforeAutospacing="1" w:after="100" w:afterAutospacing="1" w:line="360" w:lineRule="auto"/>
              <w:rPr>
                <w:sz w:val="19"/>
                <w:szCs w:val="19"/>
              </w:rPr>
            </w:pPr>
            <w:r w:rsidRPr="007F26A9">
              <w:rPr>
                <w:sz w:val="19"/>
                <w:szCs w:val="19"/>
              </w:rPr>
              <w:t>2014 Program Income</w:t>
            </w:r>
          </w:p>
        </w:tc>
        <w:tc>
          <w:tcPr>
            <w:tcW w:w="1038" w:type="dxa"/>
            <w:gridSpan w:val="3"/>
            <w:vMerge w:val="restart"/>
          </w:tcPr>
          <w:p w:rsidR="00AA2771" w:rsidRPr="007F26A9" w:rsidRDefault="00AA2771" w:rsidP="00AA2771">
            <w:pPr>
              <w:widowControl w:val="0"/>
              <w:spacing w:before="100" w:beforeAutospacing="1" w:after="100" w:afterAutospacing="1" w:line="360" w:lineRule="auto"/>
              <w:rPr>
                <w:sz w:val="19"/>
              </w:rPr>
            </w:pPr>
            <w:r w:rsidRPr="007F26A9">
              <w:rPr>
                <w:sz w:val="19"/>
              </w:rPr>
              <w:t>$6,332</w:t>
            </w:r>
          </w:p>
        </w:tc>
        <w:tc>
          <w:tcPr>
            <w:tcW w:w="1202" w:type="dxa"/>
            <w:gridSpan w:val="3"/>
            <w:vMerge w:val="restart"/>
          </w:tcPr>
          <w:p w:rsidR="00AA2771" w:rsidRPr="007F26A9" w:rsidRDefault="00AA2771" w:rsidP="00AA2771">
            <w:pPr>
              <w:widowControl w:val="0"/>
              <w:spacing w:before="100" w:beforeAutospacing="1" w:after="100" w:afterAutospacing="1" w:line="360" w:lineRule="auto"/>
              <w:rPr>
                <w:sz w:val="19"/>
              </w:rPr>
            </w:pPr>
            <w:r w:rsidRPr="007F26A9">
              <w:rPr>
                <w:sz w:val="19"/>
              </w:rPr>
              <w:t>$188,082</w:t>
            </w:r>
          </w:p>
        </w:tc>
        <w:tc>
          <w:tcPr>
            <w:tcW w:w="1760" w:type="dxa"/>
            <w:gridSpan w:val="5"/>
            <w:vMerge/>
          </w:tcPr>
          <w:p w:rsidR="00AA2771" w:rsidRPr="007F26A9" w:rsidRDefault="00AA2771" w:rsidP="00AA2771">
            <w:pPr>
              <w:widowControl w:val="0"/>
              <w:spacing w:before="100" w:beforeAutospacing="1" w:after="100" w:afterAutospacing="1" w:line="360" w:lineRule="auto"/>
              <w:rPr>
                <w:sz w:val="19"/>
              </w:rPr>
            </w:pPr>
          </w:p>
        </w:tc>
        <w:tc>
          <w:tcPr>
            <w:tcW w:w="1606" w:type="dxa"/>
          </w:tcPr>
          <w:p w:rsidR="00AA2771" w:rsidRPr="007F26A9" w:rsidRDefault="00AA2771" w:rsidP="00AA2771">
            <w:pPr>
              <w:widowControl w:val="0"/>
              <w:spacing w:before="100" w:beforeAutospacing="1" w:after="100" w:afterAutospacing="1" w:line="360" w:lineRule="auto"/>
              <w:rPr>
                <w:sz w:val="19"/>
              </w:rPr>
            </w:pPr>
            <w:r w:rsidRPr="007F26A9">
              <w:rPr>
                <w:sz w:val="19"/>
              </w:rPr>
              <w:t>4 units</w:t>
            </w:r>
          </w:p>
        </w:tc>
      </w:tr>
      <w:tr w:rsidR="00AA2771" w:rsidRPr="007F26A9" w:rsidTr="00AA2771">
        <w:trPr>
          <w:trHeight w:val="70"/>
        </w:trPr>
        <w:tc>
          <w:tcPr>
            <w:tcW w:w="630" w:type="dxa"/>
            <w:vMerge/>
          </w:tcPr>
          <w:p w:rsidR="00AA2771" w:rsidRPr="007F26A9" w:rsidRDefault="00AA2771" w:rsidP="00AA2771">
            <w:pPr>
              <w:widowControl w:val="0"/>
              <w:spacing w:before="100" w:beforeAutospacing="1" w:after="100" w:afterAutospacing="1" w:line="360" w:lineRule="auto"/>
              <w:rPr>
                <w:sz w:val="19"/>
              </w:rPr>
            </w:pPr>
          </w:p>
        </w:tc>
        <w:tc>
          <w:tcPr>
            <w:tcW w:w="3484" w:type="dxa"/>
            <w:gridSpan w:val="2"/>
            <w:vMerge/>
          </w:tcPr>
          <w:p w:rsidR="00AA2771" w:rsidRPr="007F26A9" w:rsidRDefault="00AA2771" w:rsidP="00AA2771">
            <w:pPr>
              <w:widowControl w:val="0"/>
              <w:spacing w:before="100" w:beforeAutospacing="1" w:after="100" w:afterAutospacing="1" w:line="360" w:lineRule="auto"/>
              <w:rPr>
                <w:sz w:val="19"/>
                <w:szCs w:val="19"/>
              </w:rPr>
            </w:pPr>
          </w:p>
        </w:tc>
        <w:tc>
          <w:tcPr>
            <w:tcW w:w="1038" w:type="dxa"/>
            <w:gridSpan w:val="3"/>
            <w:vMerge/>
          </w:tcPr>
          <w:p w:rsidR="00AA2771" w:rsidRPr="007F26A9" w:rsidRDefault="00AA2771" w:rsidP="00AA2771">
            <w:pPr>
              <w:widowControl w:val="0"/>
              <w:spacing w:before="100" w:beforeAutospacing="1" w:after="100" w:afterAutospacing="1" w:line="360" w:lineRule="auto"/>
              <w:rPr>
                <w:sz w:val="19"/>
                <w:szCs w:val="19"/>
              </w:rPr>
            </w:pPr>
          </w:p>
        </w:tc>
        <w:tc>
          <w:tcPr>
            <w:tcW w:w="1202" w:type="dxa"/>
            <w:gridSpan w:val="3"/>
            <w:vMerge/>
          </w:tcPr>
          <w:p w:rsidR="00AA2771" w:rsidRPr="007F26A9" w:rsidRDefault="00AA2771" w:rsidP="00AA2771">
            <w:pPr>
              <w:widowControl w:val="0"/>
              <w:spacing w:before="100" w:beforeAutospacing="1" w:after="100" w:afterAutospacing="1" w:line="360" w:lineRule="auto"/>
              <w:rPr>
                <w:sz w:val="19"/>
              </w:rPr>
            </w:pPr>
          </w:p>
        </w:tc>
        <w:tc>
          <w:tcPr>
            <w:tcW w:w="1760" w:type="dxa"/>
            <w:gridSpan w:val="5"/>
            <w:vMerge/>
          </w:tcPr>
          <w:p w:rsidR="00AA2771" w:rsidRPr="007F26A9" w:rsidRDefault="00AA2771" w:rsidP="00AA2771">
            <w:pPr>
              <w:widowControl w:val="0"/>
              <w:spacing w:before="100" w:beforeAutospacing="1" w:after="100" w:afterAutospacing="1" w:line="360" w:lineRule="auto"/>
              <w:rPr>
                <w:sz w:val="19"/>
              </w:rPr>
            </w:pPr>
          </w:p>
        </w:tc>
        <w:tc>
          <w:tcPr>
            <w:tcW w:w="1606" w:type="dxa"/>
          </w:tcPr>
          <w:p w:rsidR="00AA2771" w:rsidRPr="007F26A9" w:rsidRDefault="00AA2771" w:rsidP="00AA2771">
            <w:pPr>
              <w:widowControl w:val="0"/>
              <w:spacing w:before="100" w:beforeAutospacing="1" w:after="100" w:afterAutospacing="1" w:line="360" w:lineRule="auto"/>
              <w:rPr>
                <w:sz w:val="19"/>
              </w:rPr>
            </w:pPr>
            <w:r w:rsidRPr="007F26A9">
              <w:rPr>
                <w:sz w:val="19"/>
              </w:rPr>
              <w:t>0 units</w:t>
            </w:r>
          </w:p>
        </w:tc>
      </w:tr>
      <w:tr w:rsidR="00AA2771" w:rsidRPr="007F26A9" w:rsidTr="00AA2771">
        <w:trPr>
          <w:trHeight w:val="139"/>
        </w:trPr>
        <w:tc>
          <w:tcPr>
            <w:tcW w:w="630" w:type="dxa"/>
            <w:vMerge/>
          </w:tcPr>
          <w:p w:rsidR="00AA2771" w:rsidRPr="007F26A9" w:rsidRDefault="00AA2771" w:rsidP="00AA2771">
            <w:pPr>
              <w:widowControl w:val="0"/>
              <w:spacing w:before="100" w:beforeAutospacing="1" w:after="100" w:afterAutospacing="1" w:line="360" w:lineRule="auto"/>
              <w:rPr>
                <w:sz w:val="19"/>
              </w:rPr>
            </w:pPr>
          </w:p>
        </w:tc>
        <w:tc>
          <w:tcPr>
            <w:tcW w:w="3484" w:type="dxa"/>
            <w:gridSpan w:val="2"/>
          </w:tcPr>
          <w:p w:rsidR="00AA2771" w:rsidRPr="007F26A9" w:rsidRDefault="00AA2771" w:rsidP="00AA2771">
            <w:pPr>
              <w:widowControl w:val="0"/>
              <w:spacing w:before="100" w:beforeAutospacing="1" w:after="100" w:afterAutospacing="1" w:line="360" w:lineRule="auto"/>
              <w:rPr>
                <w:sz w:val="19"/>
                <w:szCs w:val="19"/>
              </w:rPr>
            </w:pPr>
            <w:r w:rsidRPr="007F26A9">
              <w:rPr>
                <w:sz w:val="19"/>
                <w:szCs w:val="19"/>
              </w:rPr>
              <w:t>2015 Program Income/Revolving Loan</w:t>
            </w:r>
          </w:p>
        </w:tc>
        <w:tc>
          <w:tcPr>
            <w:tcW w:w="1038" w:type="dxa"/>
            <w:gridSpan w:val="3"/>
          </w:tcPr>
          <w:p w:rsidR="00AA2771" w:rsidRPr="007F26A9" w:rsidRDefault="00AA2771" w:rsidP="00AA2771">
            <w:pPr>
              <w:widowControl w:val="0"/>
              <w:spacing w:before="100" w:beforeAutospacing="1" w:after="100" w:afterAutospacing="1" w:line="360" w:lineRule="auto"/>
              <w:rPr>
                <w:sz w:val="19"/>
              </w:rPr>
            </w:pPr>
            <w:r w:rsidRPr="007F26A9">
              <w:rPr>
                <w:sz w:val="19"/>
              </w:rPr>
              <w:t>$188,082</w:t>
            </w:r>
          </w:p>
        </w:tc>
        <w:tc>
          <w:tcPr>
            <w:tcW w:w="1202" w:type="dxa"/>
            <w:gridSpan w:val="3"/>
          </w:tcPr>
          <w:p w:rsidR="00AA2771" w:rsidRPr="007F26A9" w:rsidRDefault="00AA2771" w:rsidP="00AA2771">
            <w:pPr>
              <w:widowControl w:val="0"/>
              <w:spacing w:before="100" w:beforeAutospacing="1" w:after="100" w:afterAutospacing="1" w:line="360" w:lineRule="auto"/>
              <w:rPr>
                <w:b/>
                <w:sz w:val="19"/>
              </w:rPr>
            </w:pPr>
            <w:r w:rsidRPr="007F26A9">
              <w:rPr>
                <w:b/>
                <w:sz w:val="19"/>
              </w:rPr>
              <w:t>$80,980</w:t>
            </w:r>
          </w:p>
        </w:tc>
        <w:tc>
          <w:tcPr>
            <w:tcW w:w="1760" w:type="dxa"/>
            <w:gridSpan w:val="5"/>
            <w:vMerge/>
          </w:tcPr>
          <w:p w:rsidR="00AA2771" w:rsidRPr="007F26A9" w:rsidRDefault="00AA2771" w:rsidP="00AA2771">
            <w:pPr>
              <w:widowControl w:val="0"/>
              <w:spacing w:before="100" w:beforeAutospacing="1" w:after="100" w:afterAutospacing="1" w:line="360" w:lineRule="auto"/>
              <w:rPr>
                <w:sz w:val="19"/>
              </w:rPr>
            </w:pPr>
          </w:p>
        </w:tc>
        <w:tc>
          <w:tcPr>
            <w:tcW w:w="1606" w:type="dxa"/>
          </w:tcPr>
          <w:p w:rsidR="00AA2771" w:rsidRPr="007F26A9" w:rsidRDefault="00AA2771" w:rsidP="00AA2771">
            <w:pPr>
              <w:widowControl w:val="0"/>
              <w:spacing w:before="100" w:beforeAutospacing="1" w:after="100" w:afterAutospacing="1" w:line="360" w:lineRule="auto"/>
              <w:rPr>
                <w:sz w:val="19"/>
              </w:rPr>
            </w:pPr>
            <w:r w:rsidRPr="007F26A9">
              <w:rPr>
                <w:sz w:val="19"/>
              </w:rPr>
              <w:t>9 units</w:t>
            </w:r>
          </w:p>
        </w:tc>
      </w:tr>
      <w:tr w:rsidR="00AA2771" w:rsidRPr="007F26A9" w:rsidTr="00AA2771">
        <w:trPr>
          <w:trHeight w:val="706"/>
        </w:trPr>
        <w:tc>
          <w:tcPr>
            <w:tcW w:w="630" w:type="dxa"/>
            <w:vMerge/>
          </w:tcPr>
          <w:p w:rsidR="00AA2771" w:rsidRPr="007F26A9" w:rsidRDefault="00AA2771" w:rsidP="00AA2771">
            <w:pPr>
              <w:widowControl w:val="0"/>
              <w:spacing w:before="100" w:beforeAutospacing="1" w:after="100" w:afterAutospacing="1" w:line="360" w:lineRule="auto"/>
              <w:rPr>
                <w:sz w:val="19"/>
              </w:rPr>
            </w:pPr>
          </w:p>
        </w:tc>
        <w:tc>
          <w:tcPr>
            <w:tcW w:w="3484" w:type="dxa"/>
            <w:gridSpan w:val="2"/>
          </w:tcPr>
          <w:p w:rsidR="00AA2771" w:rsidRPr="007F26A9" w:rsidRDefault="00AA2771" w:rsidP="00AA2771">
            <w:pPr>
              <w:widowControl w:val="0"/>
              <w:spacing w:before="100" w:beforeAutospacing="1" w:after="100" w:afterAutospacing="1" w:line="360" w:lineRule="auto"/>
              <w:rPr>
                <w:sz w:val="19"/>
                <w:szCs w:val="19"/>
              </w:rPr>
            </w:pPr>
            <w:r w:rsidRPr="007F26A9">
              <w:rPr>
                <w:sz w:val="19"/>
                <w:szCs w:val="19"/>
              </w:rPr>
              <w:t>2014 EN Re-appropriation</w:t>
            </w:r>
          </w:p>
        </w:tc>
        <w:tc>
          <w:tcPr>
            <w:tcW w:w="1038" w:type="dxa"/>
            <w:gridSpan w:val="3"/>
          </w:tcPr>
          <w:p w:rsidR="00AA2771" w:rsidRPr="007F26A9" w:rsidRDefault="00AA2771" w:rsidP="00AA2771">
            <w:pPr>
              <w:widowControl w:val="0"/>
              <w:spacing w:before="100" w:beforeAutospacing="1" w:after="100" w:afterAutospacing="1" w:line="360" w:lineRule="auto"/>
              <w:rPr>
                <w:sz w:val="16"/>
                <w:szCs w:val="16"/>
              </w:rPr>
            </w:pPr>
            <w:r w:rsidRPr="007F26A9">
              <w:rPr>
                <w:sz w:val="19"/>
              </w:rPr>
              <w:t>$40,000</w:t>
            </w:r>
          </w:p>
        </w:tc>
        <w:tc>
          <w:tcPr>
            <w:tcW w:w="1202" w:type="dxa"/>
            <w:gridSpan w:val="3"/>
          </w:tcPr>
          <w:p w:rsidR="00AA2771" w:rsidRPr="007F26A9" w:rsidRDefault="00AA2771" w:rsidP="00AA2771">
            <w:pPr>
              <w:widowControl w:val="0"/>
              <w:spacing w:before="100" w:beforeAutospacing="1" w:after="100" w:afterAutospacing="1" w:line="360" w:lineRule="auto"/>
              <w:rPr>
                <w:sz w:val="19"/>
              </w:rPr>
            </w:pPr>
            <w:r w:rsidRPr="007F26A9">
              <w:rPr>
                <w:b/>
                <w:sz w:val="19"/>
              </w:rPr>
              <w:t>$40,000</w:t>
            </w:r>
            <w:r w:rsidRPr="007F26A9">
              <w:rPr>
                <w:sz w:val="19"/>
              </w:rPr>
              <w:t xml:space="preserve"> (to reprogram)</w:t>
            </w:r>
          </w:p>
        </w:tc>
        <w:tc>
          <w:tcPr>
            <w:tcW w:w="1760" w:type="dxa"/>
            <w:gridSpan w:val="5"/>
            <w:vMerge/>
          </w:tcPr>
          <w:p w:rsidR="00AA2771" w:rsidRPr="007F26A9" w:rsidRDefault="00AA2771" w:rsidP="00AA2771">
            <w:pPr>
              <w:widowControl w:val="0"/>
              <w:spacing w:before="100" w:beforeAutospacing="1" w:after="100" w:afterAutospacing="1" w:line="360" w:lineRule="auto"/>
              <w:rPr>
                <w:sz w:val="19"/>
              </w:rPr>
            </w:pPr>
          </w:p>
        </w:tc>
        <w:tc>
          <w:tcPr>
            <w:tcW w:w="1606" w:type="dxa"/>
          </w:tcPr>
          <w:p w:rsidR="00AA2771" w:rsidRPr="007F26A9" w:rsidRDefault="00AA2771" w:rsidP="00AA2771">
            <w:pPr>
              <w:widowControl w:val="0"/>
              <w:spacing w:before="100" w:beforeAutospacing="1" w:after="100" w:afterAutospacing="1" w:line="360" w:lineRule="auto"/>
              <w:rPr>
                <w:sz w:val="19"/>
              </w:rPr>
            </w:pPr>
            <w:r w:rsidRPr="007F26A9">
              <w:rPr>
                <w:sz w:val="19"/>
              </w:rPr>
              <w:t>N/A</w:t>
            </w:r>
          </w:p>
        </w:tc>
      </w:tr>
      <w:tr w:rsidR="00AA2771" w:rsidRPr="007F26A9" w:rsidTr="00AA2771">
        <w:trPr>
          <w:trHeight w:val="139"/>
        </w:trPr>
        <w:tc>
          <w:tcPr>
            <w:tcW w:w="630" w:type="dxa"/>
            <w:vMerge/>
          </w:tcPr>
          <w:p w:rsidR="00AA2771" w:rsidRPr="007F26A9" w:rsidRDefault="00AA2771" w:rsidP="00AA2771">
            <w:pPr>
              <w:widowControl w:val="0"/>
              <w:spacing w:before="100" w:beforeAutospacing="1" w:after="100" w:afterAutospacing="1" w:line="360" w:lineRule="auto"/>
              <w:rPr>
                <w:sz w:val="19"/>
              </w:rPr>
            </w:pPr>
          </w:p>
        </w:tc>
        <w:tc>
          <w:tcPr>
            <w:tcW w:w="3484" w:type="dxa"/>
            <w:gridSpan w:val="2"/>
          </w:tcPr>
          <w:p w:rsidR="00AA2771" w:rsidRPr="007F26A9" w:rsidRDefault="00AA2771" w:rsidP="00AA2771">
            <w:pPr>
              <w:widowControl w:val="0"/>
              <w:spacing w:before="100" w:beforeAutospacing="1" w:after="100" w:afterAutospacing="1" w:line="360" w:lineRule="auto"/>
              <w:jc w:val="right"/>
              <w:rPr>
                <w:b/>
                <w:sz w:val="19"/>
              </w:rPr>
            </w:pPr>
            <w:r w:rsidRPr="007F26A9">
              <w:rPr>
                <w:b/>
                <w:sz w:val="19"/>
              </w:rPr>
              <w:t>Ending Balance of EN and PI</w:t>
            </w:r>
          </w:p>
        </w:tc>
        <w:tc>
          <w:tcPr>
            <w:tcW w:w="2240" w:type="dxa"/>
            <w:gridSpan w:val="6"/>
            <w:vAlign w:val="bottom"/>
          </w:tcPr>
          <w:p w:rsidR="00AA2771" w:rsidRPr="007F26A9" w:rsidRDefault="00AA2771" w:rsidP="00AA2771">
            <w:pPr>
              <w:widowControl w:val="0"/>
              <w:spacing w:before="100" w:beforeAutospacing="1" w:after="100" w:afterAutospacing="1" w:line="360" w:lineRule="auto"/>
              <w:jc w:val="right"/>
              <w:rPr>
                <w:b/>
                <w:sz w:val="19"/>
              </w:rPr>
            </w:pPr>
            <w:r w:rsidRPr="007F26A9">
              <w:rPr>
                <w:b/>
                <w:sz w:val="19"/>
              </w:rPr>
              <w:t>$120,980</w:t>
            </w:r>
          </w:p>
        </w:tc>
        <w:tc>
          <w:tcPr>
            <w:tcW w:w="1760" w:type="dxa"/>
            <w:gridSpan w:val="5"/>
          </w:tcPr>
          <w:p w:rsidR="00AA2771" w:rsidRPr="007F26A9" w:rsidRDefault="00AA2771" w:rsidP="00AA2771">
            <w:pPr>
              <w:widowControl w:val="0"/>
              <w:spacing w:before="100" w:beforeAutospacing="1" w:after="100" w:afterAutospacing="1" w:line="360" w:lineRule="auto"/>
              <w:rPr>
                <w:b/>
                <w:sz w:val="19"/>
              </w:rPr>
            </w:pPr>
            <w:r w:rsidRPr="007F26A9">
              <w:rPr>
                <w:b/>
                <w:sz w:val="19"/>
              </w:rPr>
              <w:t>6-12 units</w:t>
            </w:r>
          </w:p>
        </w:tc>
        <w:tc>
          <w:tcPr>
            <w:tcW w:w="1606" w:type="dxa"/>
          </w:tcPr>
          <w:p w:rsidR="00AA2771" w:rsidRPr="007F26A9" w:rsidRDefault="00AA2771" w:rsidP="00AA2771">
            <w:pPr>
              <w:widowControl w:val="0"/>
              <w:spacing w:before="100" w:beforeAutospacing="1" w:after="100" w:afterAutospacing="1" w:line="360" w:lineRule="auto"/>
              <w:rPr>
                <w:b/>
                <w:sz w:val="19"/>
              </w:rPr>
            </w:pPr>
            <w:r w:rsidRPr="007F26A9">
              <w:rPr>
                <w:b/>
                <w:sz w:val="19"/>
              </w:rPr>
              <w:t xml:space="preserve"> 24 units *</w:t>
            </w:r>
          </w:p>
        </w:tc>
      </w:tr>
      <w:tr w:rsidR="00AA2771" w:rsidRPr="007F26A9" w:rsidTr="00AA2771">
        <w:trPr>
          <w:trHeight w:val="818"/>
        </w:trPr>
        <w:tc>
          <w:tcPr>
            <w:tcW w:w="630" w:type="dxa"/>
            <w:vMerge/>
          </w:tcPr>
          <w:p w:rsidR="00AA2771" w:rsidRPr="007F26A9" w:rsidRDefault="00AA2771" w:rsidP="00AA2771">
            <w:pPr>
              <w:widowControl w:val="0"/>
              <w:spacing w:before="100" w:beforeAutospacing="1" w:after="100" w:afterAutospacing="1" w:line="360" w:lineRule="auto"/>
              <w:rPr>
                <w:b/>
                <w:sz w:val="19"/>
              </w:rPr>
            </w:pPr>
          </w:p>
        </w:tc>
        <w:tc>
          <w:tcPr>
            <w:tcW w:w="9090" w:type="dxa"/>
            <w:gridSpan w:val="14"/>
          </w:tcPr>
          <w:p w:rsidR="00AA2771" w:rsidRPr="007F26A9" w:rsidRDefault="00AA2771" w:rsidP="00AA2771">
            <w:pPr>
              <w:widowControl w:val="0"/>
              <w:spacing w:before="100" w:beforeAutospacing="1" w:after="100" w:afterAutospacing="1" w:line="240" w:lineRule="auto"/>
              <w:rPr>
                <w:b/>
                <w:sz w:val="19"/>
              </w:rPr>
            </w:pPr>
            <w:r w:rsidRPr="007F26A9">
              <w:rPr>
                <w:b/>
                <w:sz w:val="19"/>
              </w:rPr>
              <w:t xml:space="preserve">Narrative:  </w:t>
            </w:r>
            <w:r w:rsidRPr="007F26A9">
              <w:rPr>
                <w:sz w:val="19"/>
              </w:rPr>
              <w:t>The success of this program over time continues to generate program income to fund additional units beyond those proposed.  A portion of the remaining $80,980 will continue to fund more home improvement loans into 2016. The $40K of EN funding that was re-appropriated through FYE 2015 remains entirely unspent due to the excess of program income generated and will be re-programmed to current year rehab projects and CDBG Program Administration where needed.  *An additional 10 units were served in 2015 for 24 total.</w:t>
            </w:r>
          </w:p>
        </w:tc>
      </w:tr>
      <w:tr w:rsidR="00AA2771" w:rsidRPr="007F26A9" w:rsidTr="00AA2771">
        <w:trPr>
          <w:trHeight w:val="444"/>
        </w:trPr>
        <w:tc>
          <w:tcPr>
            <w:tcW w:w="630" w:type="dxa"/>
            <w:vMerge w:val="restart"/>
          </w:tcPr>
          <w:p w:rsidR="00AA2771" w:rsidRPr="007F26A9" w:rsidRDefault="00AA2771" w:rsidP="00AA2771">
            <w:pPr>
              <w:widowControl w:val="0"/>
              <w:spacing w:before="100" w:beforeAutospacing="1" w:after="100" w:afterAutospacing="1" w:line="360" w:lineRule="auto"/>
              <w:rPr>
                <w:b/>
                <w:sz w:val="19"/>
              </w:rPr>
            </w:pPr>
            <w:r w:rsidRPr="007F26A9">
              <w:rPr>
                <w:b/>
                <w:sz w:val="19"/>
              </w:rPr>
              <w:t xml:space="preserve">2014and 2015 </w:t>
            </w:r>
          </w:p>
        </w:tc>
        <w:tc>
          <w:tcPr>
            <w:tcW w:w="4680" w:type="dxa"/>
            <w:gridSpan w:val="7"/>
          </w:tcPr>
          <w:p w:rsidR="00AA2771" w:rsidRPr="007F26A9" w:rsidRDefault="00AA2771" w:rsidP="00AA2771">
            <w:pPr>
              <w:widowControl w:val="0"/>
              <w:spacing w:before="100" w:beforeAutospacing="1" w:after="100" w:afterAutospacing="1" w:line="360" w:lineRule="auto"/>
              <w:rPr>
                <w:b/>
                <w:sz w:val="19"/>
              </w:rPr>
            </w:pPr>
            <w:r w:rsidRPr="007F26A9">
              <w:rPr>
                <w:b/>
                <w:sz w:val="19"/>
              </w:rPr>
              <w:t>Homewise Down Payment Asst. (Activities 287, 304)</w:t>
            </w:r>
          </w:p>
        </w:tc>
        <w:tc>
          <w:tcPr>
            <w:tcW w:w="1260" w:type="dxa"/>
            <w:gridSpan w:val="3"/>
          </w:tcPr>
          <w:p w:rsidR="00AA2771" w:rsidRPr="007F26A9" w:rsidRDefault="00AA2771" w:rsidP="00AA2771">
            <w:pPr>
              <w:widowControl w:val="0"/>
              <w:spacing w:before="100" w:beforeAutospacing="1" w:after="100" w:afterAutospacing="1" w:line="360" w:lineRule="auto"/>
              <w:rPr>
                <w:b/>
                <w:sz w:val="19"/>
              </w:rPr>
            </w:pPr>
            <w:r w:rsidRPr="007F26A9">
              <w:rPr>
                <w:b/>
                <w:sz w:val="19"/>
              </w:rPr>
              <w:t>$ Unspent</w:t>
            </w:r>
          </w:p>
        </w:tc>
        <w:tc>
          <w:tcPr>
            <w:tcW w:w="1530" w:type="dxa"/>
            <w:gridSpan w:val="2"/>
          </w:tcPr>
          <w:p w:rsidR="00AA2771" w:rsidRPr="007F26A9" w:rsidRDefault="00AA2771" w:rsidP="00AA2771">
            <w:pPr>
              <w:widowControl w:val="0"/>
              <w:spacing w:before="100" w:beforeAutospacing="1" w:after="100" w:afterAutospacing="1" w:line="240" w:lineRule="auto"/>
              <w:rPr>
                <w:b/>
                <w:sz w:val="19"/>
              </w:rPr>
            </w:pPr>
            <w:r w:rsidRPr="007F26A9">
              <w:rPr>
                <w:b/>
                <w:sz w:val="19"/>
              </w:rPr>
              <w:t>Minimum Per Contract</w:t>
            </w:r>
          </w:p>
        </w:tc>
        <w:tc>
          <w:tcPr>
            <w:tcW w:w="1620" w:type="dxa"/>
            <w:gridSpan w:val="2"/>
          </w:tcPr>
          <w:p w:rsidR="00AA2771" w:rsidRPr="007F26A9" w:rsidRDefault="00AA2771" w:rsidP="00AA2771">
            <w:pPr>
              <w:widowControl w:val="0"/>
              <w:spacing w:before="100" w:beforeAutospacing="1" w:after="100" w:afterAutospacing="1" w:line="360" w:lineRule="auto"/>
              <w:rPr>
                <w:b/>
                <w:sz w:val="19"/>
              </w:rPr>
            </w:pPr>
            <w:r w:rsidRPr="007F26A9">
              <w:rPr>
                <w:b/>
                <w:sz w:val="19"/>
              </w:rPr>
              <w:t>Total # Loans</w:t>
            </w:r>
          </w:p>
        </w:tc>
      </w:tr>
      <w:tr w:rsidR="00AA2771" w:rsidRPr="007F26A9" w:rsidTr="00AA2771">
        <w:trPr>
          <w:trHeight w:val="139"/>
        </w:trPr>
        <w:tc>
          <w:tcPr>
            <w:tcW w:w="630" w:type="dxa"/>
            <w:vMerge/>
          </w:tcPr>
          <w:p w:rsidR="00AA2771" w:rsidRPr="007F26A9" w:rsidRDefault="00AA2771" w:rsidP="00AA2771">
            <w:pPr>
              <w:widowControl w:val="0"/>
              <w:spacing w:before="100" w:beforeAutospacing="1" w:after="100" w:afterAutospacing="1" w:line="360" w:lineRule="auto"/>
              <w:rPr>
                <w:sz w:val="19"/>
              </w:rPr>
            </w:pPr>
          </w:p>
        </w:tc>
        <w:tc>
          <w:tcPr>
            <w:tcW w:w="3600" w:type="dxa"/>
            <w:gridSpan w:val="4"/>
          </w:tcPr>
          <w:p w:rsidR="00AA2771" w:rsidRPr="007F26A9" w:rsidRDefault="00AA2771" w:rsidP="00AA2771">
            <w:pPr>
              <w:widowControl w:val="0"/>
              <w:spacing w:before="100" w:beforeAutospacing="1" w:after="100" w:afterAutospacing="1" w:line="360" w:lineRule="auto"/>
              <w:rPr>
                <w:sz w:val="19"/>
              </w:rPr>
            </w:pPr>
            <w:r w:rsidRPr="007F26A9">
              <w:rPr>
                <w:sz w:val="19"/>
              </w:rPr>
              <w:t>Original Allocation</w:t>
            </w:r>
          </w:p>
        </w:tc>
        <w:tc>
          <w:tcPr>
            <w:tcW w:w="1080" w:type="dxa"/>
            <w:gridSpan w:val="3"/>
          </w:tcPr>
          <w:p w:rsidR="00AA2771" w:rsidRPr="007F26A9" w:rsidRDefault="00AA2771" w:rsidP="00AA2771">
            <w:pPr>
              <w:widowControl w:val="0"/>
              <w:spacing w:before="100" w:beforeAutospacing="1" w:after="100" w:afterAutospacing="1" w:line="360" w:lineRule="auto"/>
              <w:rPr>
                <w:sz w:val="19"/>
              </w:rPr>
            </w:pPr>
            <w:r w:rsidRPr="007F26A9">
              <w:rPr>
                <w:sz w:val="19"/>
              </w:rPr>
              <w:t>$40,000</w:t>
            </w:r>
          </w:p>
        </w:tc>
        <w:tc>
          <w:tcPr>
            <w:tcW w:w="1260" w:type="dxa"/>
            <w:gridSpan w:val="3"/>
          </w:tcPr>
          <w:p w:rsidR="00AA2771" w:rsidRPr="007F26A9" w:rsidRDefault="00AA2771" w:rsidP="00AA2771">
            <w:pPr>
              <w:widowControl w:val="0"/>
              <w:spacing w:before="100" w:beforeAutospacing="1" w:after="100" w:afterAutospacing="1" w:line="360" w:lineRule="auto"/>
              <w:rPr>
                <w:sz w:val="19"/>
              </w:rPr>
            </w:pPr>
            <w:r w:rsidRPr="007F26A9">
              <w:rPr>
                <w:sz w:val="19"/>
              </w:rPr>
              <w:t>$35,555</w:t>
            </w:r>
          </w:p>
        </w:tc>
        <w:tc>
          <w:tcPr>
            <w:tcW w:w="1530" w:type="dxa"/>
            <w:gridSpan w:val="2"/>
            <w:vMerge w:val="restart"/>
          </w:tcPr>
          <w:p w:rsidR="00AA2771" w:rsidRPr="007F26A9" w:rsidRDefault="00AA2771" w:rsidP="00AA2771">
            <w:pPr>
              <w:widowControl w:val="0"/>
              <w:spacing w:before="100" w:beforeAutospacing="1" w:after="100" w:afterAutospacing="1" w:line="360" w:lineRule="auto"/>
              <w:rPr>
                <w:sz w:val="19"/>
              </w:rPr>
            </w:pPr>
            <w:r w:rsidRPr="007F26A9">
              <w:rPr>
                <w:sz w:val="19"/>
              </w:rPr>
              <w:t xml:space="preserve">2-4 loans (2014 contract) </w:t>
            </w:r>
          </w:p>
        </w:tc>
        <w:tc>
          <w:tcPr>
            <w:tcW w:w="1620" w:type="dxa"/>
            <w:gridSpan w:val="2"/>
          </w:tcPr>
          <w:p w:rsidR="00AA2771" w:rsidRPr="007F26A9" w:rsidRDefault="00AA2771" w:rsidP="00AA2771">
            <w:pPr>
              <w:widowControl w:val="0"/>
              <w:spacing w:before="100" w:beforeAutospacing="1" w:after="100" w:afterAutospacing="1" w:line="360" w:lineRule="auto"/>
              <w:rPr>
                <w:sz w:val="19"/>
              </w:rPr>
            </w:pPr>
            <w:r w:rsidRPr="007F26A9">
              <w:rPr>
                <w:sz w:val="19"/>
              </w:rPr>
              <w:t>0 loans</w:t>
            </w:r>
          </w:p>
        </w:tc>
      </w:tr>
      <w:tr w:rsidR="00AA2771" w:rsidRPr="007F26A9" w:rsidTr="00AA2771">
        <w:trPr>
          <w:trHeight w:val="139"/>
        </w:trPr>
        <w:tc>
          <w:tcPr>
            <w:tcW w:w="630" w:type="dxa"/>
            <w:vMerge/>
          </w:tcPr>
          <w:p w:rsidR="00AA2771" w:rsidRPr="007F26A9" w:rsidRDefault="00AA2771" w:rsidP="00AA2771">
            <w:pPr>
              <w:widowControl w:val="0"/>
              <w:spacing w:before="100" w:beforeAutospacing="1" w:after="100" w:afterAutospacing="1" w:line="360" w:lineRule="auto"/>
              <w:rPr>
                <w:sz w:val="19"/>
              </w:rPr>
            </w:pPr>
          </w:p>
        </w:tc>
        <w:tc>
          <w:tcPr>
            <w:tcW w:w="3600" w:type="dxa"/>
            <w:gridSpan w:val="4"/>
          </w:tcPr>
          <w:p w:rsidR="00AA2771" w:rsidRPr="007F26A9" w:rsidRDefault="00AA2771" w:rsidP="00AA2771">
            <w:pPr>
              <w:widowControl w:val="0"/>
              <w:spacing w:before="100" w:beforeAutospacing="1" w:after="100" w:afterAutospacing="1" w:line="360" w:lineRule="auto"/>
              <w:rPr>
                <w:sz w:val="19"/>
              </w:rPr>
            </w:pPr>
            <w:r w:rsidRPr="007F26A9">
              <w:rPr>
                <w:sz w:val="19"/>
              </w:rPr>
              <w:t>2014 PI (287)</w:t>
            </w:r>
          </w:p>
        </w:tc>
        <w:tc>
          <w:tcPr>
            <w:tcW w:w="1080" w:type="dxa"/>
            <w:gridSpan w:val="3"/>
          </w:tcPr>
          <w:p w:rsidR="00AA2771" w:rsidRPr="007F26A9" w:rsidRDefault="00AA2771" w:rsidP="00AA2771">
            <w:pPr>
              <w:widowControl w:val="0"/>
              <w:spacing w:before="100" w:beforeAutospacing="1" w:after="100" w:afterAutospacing="1" w:line="360" w:lineRule="auto"/>
              <w:rPr>
                <w:sz w:val="19"/>
              </w:rPr>
            </w:pPr>
            <w:r w:rsidRPr="007F26A9">
              <w:rPr>
                <w:sz w:val="19"/>
              </w:rPr>
              <w:t>$39,134</w:t>
            </w:r>
          </w:p>
        </w:tc>
        <w:tc>
          <w:tcPr>
            <w:tcW w:w="1260" w:type="dxa"/>
            <w:gridSpan w:val="3"/>
          </w:tcPr>
          <w:p w:rsidR="00AA2771" w:rsidRPr="007F26A9" w:rsidRDefault="00AA2771" w:rsidP="00AA2771">
            <w:pPr>
              <w:widowControl w:val="0"/>
              <w:spacing w:before="100" w:beforeAutospacing="1" w:after="100" w:afterAutospacing="1" w:line="360" w:lineRule="auto"/>
              <w:rPr>
                <w:sz w:val="19"/>
              </w:rPr>
            </w:pPr>
            <w:r w:rsidRPr="007F26A9">
              <w:rPr>
                <w:sz w:val="19"/>
              </w:rPr>
              <w:t>0</w:t>
            </w:r>
          </w:p>
        </w:tc>
        <w:tc>
          <w:tcPr>
            <w:tcW w:w="1530" w:type="dxa"/>
            <w:gridSpan w:val="2"/>
            <w:vMerge/>
          </w:tcPr>
          <w:p w:rsidR="00AA2771" w:rsidRPr="007F26A9" w:rsidRDefault="00AA2771" w:rsidP="00AA2771">
            <w:pPr>
              <w:widowControl w:val="0"/>
              <w:spacing w:before="100" w:beforeAutospacing="1" w:after="100" w:afterAutospacing="1" w:line="360" w:lineRule="auto"/>
              <w:rPr>
                <w:sz w:val="19"/>
              </w:rPr>
            </w:pPr>
          </w:p>
        </w:tc>
        <w:tc>
          <w:tcPr>
            <w:tcW w:w="1620" w:type="dxa"/>
            <w:gridSpan w:val="2"/>
          </w:tcPr>
          <w:p w:rsidR="00AA2771" w:rsidRPr="007F26A9" w:rsidRDefault="00AA2771" w:rsidP="00AA2771">
            <w:pPr>
              <w:widowControl w:val="0"/>
              <w:spacing w:before="100" w:beforeAutospacing="1" w:after="100" w:afterAutospacing="1" w:line="360" w:lineRule="auto"/>
              <w:rPr>
                <w:sz w:val="19"/>
              </w:rPr>
            </w:pPr>
            <w:r w:rsidRPr="007F26A9">
              <w:rPr>
                <w:sz w:val="19"/>
              </w:rPr>
              <w:t>12 loans</w:t>
            </w:r>
          </w:p>
        </w:tc>
      </w:tr>
      <w:tr w:rsidR="00AA2771" w:rsidRPr="007F26A9" w:rsidTr="00AA2771">
        <w:trPr>
          <w:trHeight w:val="139"/>
        </w:trPr>
        <w:tc>
          <w:tcPr>
            <w:tcW w:w="630" w:type="dxa"/>
            <w:vMerge/>
          </w:tcPr>
          <w:p w:rsidR="00AA2771" w:rsidRPr="007F26A9" w:rsidRDefault="00AA2771" w:rsidP="00AA2771">
            <w:pPr>
              <w:widowControl w:val="0"/>
              <w:spacing w:before="100" w:beforeAutospacing="1" w:after="100" w:afterAutospacing="1" w:line="360" w:lineRule="auto"/>
              <w:rPr>
                <w:sz w:val="19"/>
              </w:rPr>
            </w:pPr>
          </w:p>
        </w:tc>
        <w:tc>
          <w:tcPr>
            <w:tcW w:w="3600" w:type="dxa"/>
            <w:gridSpan w:val="4"/>
          </w:tcPr>
          <w:p w:rsidR="00AA2771" w:rsidRPr="007F26A9" w:rsidRDefault="00AA2771" w:rsidP="00AA2771">
            <w:pPr>
              <w:widowControl w:val="0"/>
              <w:spacing w:before="100" w:beforeAutospacing="1" w:after="100" w:afterAutospacing="1" w:line="360" w:lineRule="auto"/>
            </w:pPr>
            <w:r w:rsidRPr="007F26A9">
              <w:t>2014 EN Re-appropriation</w:t>
            </w:r>
          </w:p>
        </w:tc>
        <w:tc>
          <w:tcPr>
            <w:tcW w:w="1080" w:type="dxa"/>
            <w:gridSpan w:val="3"/>
          </w:tcPr>
          <w:p w:rsidR="00AA2771" w:rsidRPr="007F26A9" w:rsidRDefault="00AA2771" w:rsidP="00AA2771">
            <w:pPr>
              <w:widowControl w:val="0"/>
              <w:spacing w:before="100" w:beforeAutospacing="1" w:after="100" w:afterAutospacing="1" w:line="360" w:lineRule="auto"/>
            </w:pPr>
            <w:r w:rsidRPr="007F26A9">
              <w:t>$40,000</w:t>
            </w:r>
          </w:p>
        </w:tc>
        <w:tc>
          <w:tcPr>
            <w:tcW w:w="1260" w:type="dxa"/>
            <w:gridSpan w:val="3"/>
          </w:tcPr>
          <w:p w:rsidR="00AA2771" w:rsidRPr="007F26A9" w:rsidRDefault="00AA2771" w:rsidP="00AA2771">
            <w:pPr>
              <w:widowControl w:val="0"/>
              <w:spacing w:before="100" w:beforeAutospacing="1" w:after="100" w:afterAutospacing="1" w:line="360" w:lineRule="auto"/>
              <w:rPr>
                <w:b/>
                <w:sz w:val="19"/>
              </w:rPr>
            </w:pPr>
            <w:r w:rsidRPr="007F26A9">
              <w:rPr>
                <w:b/>
                <w:sz w:val="19"/>
              </w:rPr>
              <w:t xml:space="preserve">$35,555 </w:t>
            </w:r>
            <w:r w:rsidRPr="007F26A9">
              <w:rPr>
                <w:sz w:val="19"/>
              </w:rPr>
              <w:t>(to reprogram)</w:t>
            </w:r>
          </w:p>
        </w:tc>
        <w:tc>
          <w:tcPr>
            <w:tcW w:w="1530" w:type="dxa"/>
            <w:gridSpan w:val="2"/>
            <w:vMerge/>
          </w:tcPr>
          <w:p w:rsidR="00AA2771" w:rsidRPr="007F26A9" w:rsidRDefault="00AA2771" w:rsidP="00AA2771">
            <w:pPr>
              <w:widowControl w:val="0"/>
              <w:spacing w:before="100" w:beforeAutospacing="1" w:after="100" w:afterAutospacing="1" w:line="360" w:lineRule="auto"/>
              <w:rPr>
                <w:sz w:val="19"/>
              </w:rPr>
            </w:pPr>
          </w:p>
        </w:tc>
        <w:tc>
          <w:tcPr>
            <w:tcW w:w="1620" w:type="dxa"/>
            <w:gridSpan w:val="2"/>
          </w:tcPr>
          <w:p w:rsidR="00AA2771" w:rsidRPr="007F26A9" w:rsidRDefault="00AA2771" w:rsidP="00AA2771">
            <w:pPr>
              <w:widowControl w:val="0"/>
              <w:spacing w:before="100" w:beforeAutospacing="1" w:after="100" w:afterAutospacing="1" w:line="360" w:lineRule="auto"/>
              <w:rPr>
                <w:sz w:val="19"/>
              </w:rPr>
            </w:pPr>
            <w:r w:rsidRPr="007F26A9">
              <w:rPr>
                <w:sz w:val="19"/>
              </w:rPr>
              <w:t>1</w:t>
            </w:r>
          </w:p>
        </w:tc>
      </w:tr>
      <w:tr w:rsidR="00AA2771" w:rsidRPr="007F26A9" w:rsidTr="00AA2771">
        <w:trPr>
          <w:trHeight w:val="139"/>
        </w:trPr>
        <w:tc>
          <w:tcPr>
            <w:tcW w:w="630" w:type="dxa"/>
            <w:vMerge/>
          </w:tcPr>
          <w:p w:rsidR="00AA2771" w:rsidRPr="007F26A9" w:rsidRDefault="00AA2771" w:rsidP="00AA2771">
            <w:pPr>
              <w:widowControl w:val="0"/>
              <w:spacing w:before="100" w:beforeAutospacing="1" w:after="100" w:afterAutospacing="1" w:line="360" w:lineRule="auto"/>
              <w:rPr>
                <w:sz w:val="19"/>
              </w:rPr>
            </w:pPr>
          </w:p>
        </w:tc>
        <w:tc>
          <w:tcPr>
            <w:tcW w:w="3600" w:type="dxa"/>
            <w:gridSpan w:val="4"/>
          </w:tcPr>
          <w:p w:rsidR="00AA2771" w:rsidRPr="007F26A9" w:rsidRDefault="00AA2771" w:rsidP="00AA2771">
            <w:pPr>
              <w:widowControl w:val="0"/>
              <w:spacing w:before="100" w:beforeAutospacing="1" w:after="100" w:afterAutospacing="1" w:line="360" w:lineRule="auto"/>
              <w:rPr>
                <w:sz w:val="19"/>
                <w:szCs w:val="19"/>
              </w:rPr>
            </w:pPr>
            <w:r w:rsidRPr="007F26A9">
              <w:rPr>
                <w:sz w:val="19"/>
                <w:szCs w:val="19"/>
              </w:rPr>
              <w:t>2015 EN (304)</w:t>
            </w:r>
            <w:r w:rsidRPr="007F26A9">
              <w:t xml:space="preserve"> Re-appropriation - contract extension</w:t>
            </w:r>
          </w:p>
        </w:tc>
        <w:tc>
          <w:tcPr>
            <w:tcW w:w="1080" w:type="dxa"/>
            <w:gridSpan w:val="3"/>
          </w:tcPr>
          <w:p w:rsidR="00AA2771" w:rsidRPr="007F26A9" w:rsidRDefault="00AA2771" w:rsidP="00AA2771">
            <w:pPr>
              <w:widowControl w:val="0"/>
              <w:spacing w:before="100" w:beforeAutospacing="1" w:after="100" w:afterAutospacing="1" w:line="360" w:lineRule="auto"/>
              <w:rPr>
                <w:sz w:val="19"/>
              </w:rPr>
            </w:pPr>
            <w:r w:rsidRPr="007F26A9">
              <w:rPr>
                <w:sz w:val="19"/>
              </w:rPr>
              <w:t>$89,750</w:t>
            </w:r>
          </w:p>
        </w:tc>
        <w:tc>
          <w:tcPr>
            <w:tcW w:w="1260" w:type="dxa"/>
            <w:gridSpan w:val="3"/>
          </w:tcPr>
          <w:p w:rsidR="00AA2771" w:rsidRPr="007F26A9" w:rsidRDefault="00AA2771" w:rsidP="00AA2771">
            <w:pPr>
              <w:widowControl w:val="0"/>
              <w:spacing w:before="100" w:beforeAutospacing="1" w:after="100" w:afterAutospacing="1" w:line="360" w:lineRule="auto"/>
              <w:rPr>
                <w:b/>
                <w:sz w:val="19"/>
              </w:rPr>
            </w:pPr>
            <w:r w:rsidRPr="007F26A9">
              <w:rPr>
                <w:b/>
                <w:sz w:val="19"/>
              </w:rPr>
              <w:t>$89,750</w:t>
            </w:r>
          </w:p>
        </w:tc>
        <w:tc>
          <w:tcPr>
            <w:tcW w:w="1530" w:type="dxa"/>
            <w:gridSpan w:val="2"/>
          </w:tcPr>
          <w:p w:rsidR="00AA2771" w:rsidRPr="007F26A9" w:rsidRDefault="00AA2771" w:rsidP="00AA2771">
            <w:pPr>
              <w:widowControl w:val="0"/>
              <w:spacing w:before="100" w:beforeAutospacing="1" w:after="100" w:afterAutospacing="1" w:line="360" w:lineRule="auto"/>
              <w:rPr>
                <w:sz w:val="19"/>
              </w:rPr>
            </w:pPr>
            <w:r w:rsidRPr="007F26A9">
              <w:rPr>
                <w:sz w:val="19"/>
              </w:rPr>
              <w:t>5 loans</w:t>
            </w:r>
          </w:p>
        </w:tc>
        <w:tc>
          <w:tcPr>
            <w:tcW w:w="1620" w:type="dxa"/>
            <w:gridSpan w:val="2"/>
          </w:tcPr>
          <w:p w:rsidR="00AA2771" w:rsidRPr="007F26A9" w:rsidRDefault="00AA2771" w:rsidP="00AA2771">
            <w:pPr>
              <w:widowControl w:val="0"/>
              <w:spacing w:before="100" w:beforeAutospacing="1" w:after="100" w:afterAutospacing="1" w:line="360" w:lineRule="auto"/>
              <w:rPr>
                <w:sz w:val="19"/>
              </w:rPr>
            </w:pPr>
            <w:r w:rsidRPr="007F26A9">
              <w:rPr>
                <w:sz w:val="19"/>
              </w:rPr>
              <w:t>0</w:t>
            </w:r>
          </w:p>
        </w:tc>
      </w:tr>
      <w:tr w:rsidR="00AA2771" w:rsidRPr="007F26A9" w:rsidTr="00AA2771">
        <w:trPr>
          <w:trHeight w:val="139"/>
        </w:trPr>
        <w:tc>
          <w:tcPr>
            <w:tcW w:w="630" w:type="dxa"/>
            <w:vMerge/>
          </w:tcPr>
          <w:p w:rsidR="00AA2771" w:rsidRPr="007F26A9" w:rsidRDefault="00AA2771" w:rsidP="00AA2771">
            <w:pPr>
              <w:widowControl w:val="0"/>
              <w:spacing w:before="100" w:beforeAutospacing="1" w:after="100" w:afterAutospacing="1" w:line="360" w:lineRule="auto"/>
              <w:rPr>
                <w:sz w:val="19"/>
              </w:rPr>
            </w:pPr>
          </w:p>
        </w:tc>
        <w:tc>
          <w:tcPr>
            <w:tcW w:w="3600" w:type="dxa"/>
            <w:gridSpan w:val="4"/>
          </w:tcPr>
          <w:p w:rsidR="00AA2771" w:rsidRPr="007F26A9" w:rsidRDefault="00AA2771" w:rsidP="00AA2771">
            <w:pPr>
              <w:widowControl w:val="0"/>
              <w:spacing w:before="100" w:beforeAutospacing="1" w:after="100" w:afterAutospacing="1" w:line="360" w:lineRule="auto"/>
              <w:rPr>
                <w:sz w:val="19"/>
              </w:rPr>
            </w:pPr>
            <w:r w:rsidRPr="007F26A9">
              <w:rPr>
                <w:sz w:val="19"/>
                <w:szCs w:val="19"/>
              </w:rPr>
              <w:t xml:space="preserve">2015 Program Income/Revolving Loan </w:t>
            </w:r>
          </w:p>
        </w:tc>
        <w:tc>
          <w:tcPr>
            <w:tcW w:w="1080" w:type="dxa"/>
            <w:gridSpan w:val="3"/>
          </w:tcPr>
          <w:p w:rsidR="00AA2771" w:rsidRPr="007F26A9" w:rsidRDefault="00AA2771" w:rsidP="00AA2771">
            <w:pPr>
              <w:widowControl w:val="0"/>
              <w:spacing w:before="100" w:beforeAutospacing="1" w:after="100" w:afterAutospacing="1" w:line="360" w:lineRule="auto"/>
              <w:rPr>
                <w:sz w:val="19"/>
              </w:rPr>
            </w:pPr>
            <w:r w:rsidRPr="007F26A9">
              <w:rPr>
                <w:sz w:val="19"/>
              </w:rPr>
              <w:t>$165,066</w:t>
            </w:r>
          </w:p>
        </w:tc>
        <w:tc>
          <w:tcPr>
            <w:tcW w:w="1260" w:type="dxa"/>
            <w:gridSpan w:val="3"/>
          </w:tcPr>
          <w:p w:rsidR="00AA2771" w:rsidRPr="007F26A9" w:rsidRDefault="00AA2771" w:rsidP="00AA2771">
            <w:pPr>
              <w:widowControl w:val="0"/>
              <w:spacing w:before="100" w:beforeAutospacing="1" w:after="100" w:afterAutospacing="1" w:line="360" w:lineRule="auto"/>
              <w:rPr>
                <w:b/>
                <w:sz w:val="19"/>
              </w:rPr>
            </w:pPr>
            <w:r w:rsidRPr="007F26A9">
              <w:rPr>
                <w:sz w:val="19"/>
              </w:rPr>
              <w:t>$0</w:t>
            </w:r>
          </w:p>
        </w:tc>
        <w:tc>
          <w:tcPr>
            <w:tcW w:w="1530" w:type="dxa"/>
            <w:gridSpan w:val="2"/>
          </w:tcPr>
          <w:p w:rsidR="00AA2771" w:rsidRPr="007F26A9" w:rsidRDefault="00AA2771" w:rsidP="00AA2771">
            <w:pPr>
              <w:widowControl w:val="0"/>
              <w:spacing w:before="100" w:beforeAutospacing="1" w:after="100" w:afterAutospacing="1" w:line="360" w:lineRule="auto"/>
              <w:rPr>
                <w:sz w:val="19"/>
              </w:rPr>
            </w:pPr>
          </w:p>
        </w:tc>
        <w:tc>
          <w:tcPr>
            <w:tcW w:w="1620" w:type="dxa"/>
            <w:gridSpan w:val="2"/>
          </w:tcPr>
          <w:p w:rsidR="00AA2771" w:rsidRPr="007F26A9" w:rsidRDefault="00AA2771" w:rsidP="00AA2771">
            <w:pPr>
              <w:widowControl w:val="0"/>
              <w:spacing w:before="100" w:beforeAutospacing="1" w:after="100" w:afterAutospacing="1" w:line="360" w:lineRule="auto"/>
              <w:rPr>
                <w:sz w:val="19"/>
              </w:rPr>
            </w:pPr>
            <w:r w:rsidRPr="007F26A9">
              <w:rPr>
                <w:sz w:val="19"/>
              </w:rPr>
              <w:t>13</w:t>
            </w:r>
          </w:p>
        </w:tc>
      </w:tr>
      <w:tr w:rsidR="00AA2771" w:rsidRPr="007F26A9" w:rsidTr="00AA2771">
        <w:trPr>
          <w:trHeight w:val="139"/>
        </w:trPr>
        <w:tc>
          <w:tcPr>
            <w:tcW w:w="630" w:type="dxa"/>
            <w:vMerge/>
          </w:tcPr>
          <w:p w:rsidR="00AA2771" w:rsidRPr="007F26A9" w:rsidRDefault="00AA2771" w:rsidP="00AA2771">
            <w:pPr>
              <w:widowControl w:val="0"/>
              <w:spacing w:before="100" w:beforeAutospacing="1" w:after="100" w:afterAutospacing="1" w:line="360" w:lineRule="auto"/>
              <w:rPr>
                <w:sz w:val="19"/>
              </w:rPr>
            </w:pPr>
          </w:p>
        </w:tc>
        <w:tc>
          <w:tcPr>
            <w:tcW w:w="3600" w:type="dxa"/>
            <w:gridSpan w:val="4"/>
          </w:tcPr>
          <w:p w:rsidR="00AA2771" w:rsidRPr="007F26A9" w:rsidRDefault="00AA2771" w:rsidP="00AA2771">
            <w:pPr>
              <w:widowControl w:val="0"/>
              <w:spacing w:before="100" w:beforeAutospacing="1" w:after="100" w:afterAutospacing="1" w:line="360" w:lineRule="auto"/>
              <w:jc w:val="right"/>
              <w:rPr>
                <w:b/>
                <w:sz w:val="19"/>
              </w:rPr>
            </w:pPr>
            <w:r w:rsidRPr="007F26A9">
              <w:rPr>
                <w:b/>
                <w:sz w:val="19"/>
              </w:rPr>
              <w:t>Ending Balance of EN and PI</w:t>
            </w:r>
          </w:p>
        </w:tc>
        <w:tc>
          <w:tcPr>
            <w:tcW w:w="2340" w:type="dxa"/>
            <w:gridSpan w:val="6"/>
            <w:vAlign w:val="bottom"/>
          </w:tcPr>
          <w:p w:rsidR="00AA2771" w:rsidRPr="007F26A9" w:rsidRDefault="00AA2771" w:rsidP="00AA2771">
            <w:pPr>
              <w:widowControl w:val="0"/>
              <w:spacing w:before="100" w:beforeAutospacing="1" w:after="100" w:afterAutospacing="1" w:line="360" w:lineRule="auto"/>
              <w:jc w:val="right"/>
              <w:rPr>
                <w:b/>
                <w:sz w:val="19"/>
              </w:rPr>
            </w:pPr>
            <w:r w:rsidRPr="007F26A9">
              <w:rPr>
                <w:b/>
                <w:sz w:val="19"/>
              </w:rPr>
              <w:t>$125,305</w:t>
            </w:r>
          </w:p>
        </w:tc>
        <w:tc>
          <w:tcPr>
            <w:tcW w:w="1530" w:type="dxa"/>
            <w:gridSpan w:val="2"/>
          </w:tcPr>
          <w:p w:rsidR="00AA2771" w:rsidRPr="007F26A9" w:rsidRDefault="00AA2771" w:rsidP="00AA2771">
            <w:pPr>
              <w:widowControl w:val="0"/>
              <w:spacing w:before="100" w:beforeAutospacing="1" w:after="100" w:afterAutospacing="1" w:line="360" w:lineRule="auto"/>
              <w:rPr>
                <w:b/>
                <w:sz w:val="19"/>
              </w:rPr>
            </w:pPr>
            <w:r w:rsidRPr="007F26A9">
              <w:rPr>
                <w:b/>
                <w:sz w:val="19"/>
              </w:rPr>
              <w:t>9-11 loans</w:t>
            </w:r>
          </w:p>
        </w:tc>
        <w:tc>
          <w:tcPr>
            <w:tcW w:w="1620" w:type="dxa"/>
            <w:gridSpan w:val="2"/>
          </w:tcPr>
          <w:p w:rsidR="00AA2771" w:rsidRPr="007F26A9" w:rsidRDefault="00AA2771" w:rsidP="00AA2771">
            <w:pPr>
              <w:widowControl w:val="0"/>
              <w:spacing w:before="100" w:beforeAutospacing="1" w:after="100" w:afterAutospacing="1" w:line="360" w:lineRule="auto"/>
              <w:rPr>
                <w:b/>
                <w:sz w:val="19"/>
              </w:rPr>
            </w:pPr>
            <w:r w:rsidRPr="007F26A9">
              <w:rPr>
                <w:b/>
                <w:sz w:val="19"/>
              </w:rPr>
              <w:t>26 loans</w:t>
            </w:r>
          </w:p>
        </w:tc>
      </w:tr>
      <w:tr w:rsidR="00AA2771" w:rsidRPr="007F26A9" w:rsidTr="00AA2771">
        <w:trPr>
          <w:trHeight w:val="393"/>
        </w:trPr>
        <w:tc>
          <w:tcPr>
            <w:tcW w:w="630" w:type="dxa"/>
            <w:vMerge/>
          </w:tcPr>
          <w:p w:rsidR="00AA2771" w:rsidRPr="007F26A9" w:rsidRDefault="00AA2771" w:rsidP="00AA2771">
            <w:pPr>
              <w:widowControl w:val="0"/>
              <w:spacing w:before="100" w:beforeAutospacing="1" w:after="100" w:afterAutospacing="1" w:line="360" w:lineRule="auto"/>
              <w:rPr>
                <w:b/>
                <w:sz w:val="19"/>
              </w:rPr>
            </w:pPr>
          </w:p>
        </w:tc>
        <w:tc>
          <w:tcPr>
            <w:tcW w:w="9090" w:type="dxa"/>
            <w:gridSpan w:val="14"/>
          </w:tcPr>
          <w:p w:rsidR="00AA2771" w:rsidRPr="007F26A9" w:rsidRDefault="00AA2771" w:rsidP="00AA2771">
            <w:pPr>
              <w:widowControl w:val="0"/>
              <w:spacing w:before="100" w:beforeAutospacing="1" w:after="100" w:afterAutospacing="1" w:line="240" w:lineRule="auto"/>
              <w:rPr>
                <w:b/>
                <w:sz w:val="19"/>
              </w:rPr>
            </w:pPr>
            <w:r w:rsidRPr="007F26A9">
              <w:rPr>
                <w:b/>
                <w:sz w:val="19"/>
              </w:rPr>
              <w:t xml:space="preserve">Narrative:  </w:t>
            </w:r>
            <w:r w:rsidRPr="007F26A9">
              <w:rPr>
                <w:sz w:val="19"/>
              </w:rPr>
              <w:t>The success of this program over several years has generated program income to fund additional units beyond those proposed.  2014 and 2015 EN remains unspent due to the excess of program income generated.  Remaining PI from Homewise’s Rehab Program is eligible to fund 2016 DPA loans if needed. The remaining $35K will be reprogrammed to current year rehab projects and CDBG Program Admin where needed.</w:t>
            </w:r>
          </w:p>
        </w:tc>
      </w:tr>
      <w:tr w:rsidR="00AA2771" w:rsidRPr="007F26A9" w:rsidTr="00AA2771">
        <w:trPr>
          <w:trHeight w:val="531"/>
        </w:trPr>
        <w:tc>
          <w:tcPr>
            <w:tcW w:w="630" w:type="dxa"/>
            <w:vMerge w:val="restart"/>
          </w:tcPr>
          <w:p w:rsidR="00AA2771" w:rsidRPr="007F26A9" w:rsidRDefault="00AA2771" w:rsidP="00AA2771">
            <w:pPr>
              <w:widowControl w:val="0"/>
              <w:spacing w:before="100" w:beforeAutospacing="1" w:after="100" w:afterAutospacing="1" w:line="360" w:lineRule="auto"/>
              <w:rPr>
                <w:b/>
                <w:sz w:val="19"/>
              </w:rPr>
            </w:pPr>
            <w:r w:rsidRPr="007F26A9">
              <w:rPr>
                <w:b/>
                <w:sz w:val="19"/>
              </w:rPr>
              <w:t xml:space="preserve">2014and 2015 </w:t>
            </w:r>
          </w:p>
        </w:tc>
        <w:tc>
          <w:tcPr>
            <w:tcW w:w="4564" w:type="dxa"/>
            <w:gridSpan w:val="6"/>
          </w:tcPr>
          <w:p w:rsidR="00AA2771" w:rsidRPr="007F26A9" w:rsidRDefault="00AA2771" w:rsidP="00AA2771">
            <w:pPr>
              <w:widowControl w:val="0"/>
              <w:spacing w:before="100" w:beforeAutospacing="1" w:after="100" w:afterAutospacing="1" w:line="360" w:lineRule="auto"/>
              <w:rPr>
                <w:b/>
                <w:sz w:val="19"/>
              </w:rPr>
            </w:pPr>
            <w:r w:rsidRPr="007F26A9">
              <w:rPr>
                <w:b/>
                <w:sz w:val="19"/>
              </w:rPr>
              <w:t>Housing Trust DPA (Activities 290, 305)</w:t>
            </w:r>
          </w:p>
        </w:tc>
        <w:tc>
          <w:tcPr>
            <w:tcW w:w="1286" w:type="dxa"/>
            <w:gridSpan w:val="3"/>
          </w:tcPr>
          <w:p w:rsidR="00AA2771" w:rsidRPr="007F26A9" w:rsidRDefault="00AA2771" w:rsidP="00AA2771">
            <w:pPr>
              <w:widowControl w:val="0"/>
              <w:spacing w:before="100" w:beforeAutospacing="1" w:after="100" w:afterAutospacing="1" w:line="360" w:lineRule="auto"/>
              <w:rPr>
                <w:b/>
                <w:sz w:val="19"/>
              </w:rPr>
            </w:pPr>
          </w:p>
        </w:tc>
        <w:tc>
          <w:tcPr>
            <w:tcW w:w="1350" w:type="dxa"/>
            <w:gridSpan w:val="2"/>
          </w:tcPr>
          <w:p w:rsidR="00AA2771" w:rsidRPr="007F26A9" w:rsidRDefault="00AA2771" w:rsidP="00AA2771">
            <w:pPr>
              <w:widowControl w:val="0"/>
              <w:spacing w:before="100" w:beforeAutospacing="1" w:after="100" w:afterAutospacing="1" w:line="240" w:lineRule="auto"/>
              <w:rPr>
                <w:sz w:val="19"/>
              </w:rPr>
            </w:pPr>
            <w:r w:rsidRPr="007F26A9">
              <w:rPr>
                <w:b/>
                <w:sz w:val="19"/>
              </w:rPr>
              <w:t>Minimum Per Contract</w:t>
            </w:r>
          </w:p>
        </w:tc>
        <w:tc>
          <w:tcPr>
            <w:tcW w:w="1890" w:type="dxa"/>
            <w:gridSpan w:val="3"/>
          </w:tcPr>
          <w:p w:rsidR="00AA2771" w:rsidRPr="007F26A9" w:rsidRDefault="00AA2771" w:rsidP="00AA2771">
            <w:pPr>
              <w:widowControl w:val="0"/>
              <w:spacing w:before="100" w:beforeAutospacing="1" w:after="100" w:afterAutospacing="1" w:line="360" w:lineRule="auto"/>
              <w:rPr>
                <w:b/>
                <w:sz w:val="19"/>
              </w:rPr>
            </w:pPr>
            <w:r w:rsidRPr="007F26A9">
              <w:rPr>
                <w:b/>
                <w:sz w:val="19"/>
              </w:rPr>
              <w:t>Total # Loans</w:t>
            </w:r>
          </w:p>
        </w:tc>
      </w:tr>
      <w:tr w:rsidR="00AA2771" w:rsidRPr="007F26A9" w:rsidTr="00AA2771">
        <w:trPr>
          <w:trHeight w:val="139"/>
        </w:trPr>
        <w:tc>
          <w:tcPr>
            <w:tcW w:w="630" w:type="dxa"/>
            <w:vMerge/>
          </w:tcPr>
          <w:p w:rsidR="00AA2771" w:rsidRPr="007F26A9" w:rsidRDefault="00AA2771" w:rsidP="00AA2771">
            <w:pPr>
              <w:widowControl w:val="0"/>
              <w:spacing w:before="100" w:beforeAutospacing="1" w:after="100" w:afterAutospacing="1" w:line="360" w:lineRule="auto"/>
              <w:rPr>
                <w:b/>
                <w:sz w:val="19"/>
              </w:rPr>
            </w:pPr>
          </w:p>
        </w:tc>
        <w:tc>
          <w:tcPr>
            <w:tcW w:w="3420" w:type="dxa"/>
            <w:vMerge w:val="restart"/>
          </w:tcPr>
          <w:p w:rsidR="00AA2771" w:rsidRPr="007F26A9" w:rsidRDefault="00AA2771" w:rsidP="00AA2771">
            <w:pPr>
              <w:widowControl w:val="0"/>
              <w:spacing w:before="100" w:beforeAutospacing="1" w:after="100" w:afterAutospacing="1" w:line="360" w:lineRule="auto"/>
              <w:rPr>
                <w:sz w:val="19"/>
              </w:rPr>
            </w:pPr>
            <w:r w:rsidRPr="007F26A9">
              <w:rPr>
                <w:sz w:val="19"/>
              </w:rPr>
              <w:t>Original Allocation (290)</w:t>
            </w:r>
          </w:p>
        </w:tc>
        <w:tc>
          <w:tcPr>
            <w:tcW w:w="1144" w:type="dxa"/>
            <w:gridSpan w:val="5"/>
            <w:vMerge w:val="restart"/>
          </w:tcPr>
          <w:p w:rsidR="00AA2771" w:rsidRPr="007F26A9" w:rsidRDefault="00AA2771" w:rsidP="00AA2771">
            <w:pPr>
              <w:widowControl w:val="0"/>
              <w:spacing w:before="100" w:beforeAutospacing="1" w:after="100" w:afterAutospacing="1" w:line="360" w:lineRule="auto"/>
              <w:rPr>
                <w:sz w:val="19"/>
              </w:rPr>
            </w:pPr>
            <w:r w:rsidRPr="007F26A9">
              <w:rPr>
                <w:sz w:val="19"/>
              </w:rPr>
              <w:t>$60,000</w:t>
            </w:r>
          </w:p>
        </w:tc>
        <w:tc>
          <w:tcPr>
            <w:tcW w:w="1286" w:type="dxa"/>
            <w:gridSpan w:val="3"/>
            <w:vMerge w:val="restart"/>
          </w:tcPr>
          <w:p w:rsidR="00AA2771" w:rsidRPr="007F26A9" w:rsidRDefault="00AA2771" w:rsidP="00AA2771">
            <w:pPr>
              <w:widowControl w:val="0"/>
              <w:spacing w:before="100" w:beforeAutospacing="1" w:after="100" w:afterAutospacing="1" w:line="360" w:lineRule="auto"/>
              <w:rPr>
                <w:sz w:val="19"/>
              </w:rPr>
            </w:pPr>
            <w:r w:rsidRPr="007F26A9">
              <w:rPr>
                <w:sz w:val="19"/>
              </w:rPr>
              <w:t>$0</w:t>
            </w:r>
          </w:p>
        </w:tc>
        <w:tc>
          <w:tcPr>
            <w:tcW w:w="1350" w:type="dxa"/>
            <w:gridSpan w:val="2"/>
            <w:vMerge w:val="restart"/>
          </w:tcPr>
          <w:p w:rsidR="00AA2771" w:rsidRPr="007F26A9" w:rsidRDefault="00AA2771" w:rsidP="00AA2771">
            <w:pPr>
              <w:widowControl w:val="0"/>
              <w:spacing w:before="100" w:beforeAutospacing="1" w:after="100" w:afterAutospacing="1" w:line="360" w:lineRule="auto"/>
              <w:rPr>
                <w:sz w:val="19"/>
              </w:rPr>
            </w:pPr>
            <w:r w:rsidRPr="007F26A9">
              <w:rPr>
                <w:sz w:val="19"/>
              </w:rPr>
              <w:t>5-7 loans (2014 contr.)</w:t>
            </w:r>
          </w:p>
        </w:tc>
        <w:tc>
          <w:tcPr>
            <w:tcW w:w="1890" w:type="dxa"/>
            <w:gridSpan w:val="3"/>
          </w:tcPr>
          <w:p w:rsidR="00AA2771" w:rsidRPr="007F26A9" w:rsidRDefault="00AA2771" w:rsidP="00AA2771">
            <w:pPr>
              <w:widowControl w:val="0"/>
              <w:spacing w:before="100" w:beforeAutospacing="1" w:after="100" w:afterAutospacing="1" w:line="360" w:lineRule="auto"/>
              <w:rPr>
                <w:sz w:val="19"/>
              </w:rPr>
            </w:pPr>
            <w:r w:rsidRPr="007F26A9">
              <w:rPr>
                <w:sz w:val="19"/>
              </w:rPr>
              <w:t xml:space="preserve">3 loans </w:t>
            </w:r>
          </w:p>
        </w:tc>
      </w:tr>
      <w:tr w:rsidR="00AA2771" w:rsidRPr="007F26A9" w:rsidTr="00AA2771">
        <w:trPr>
          <w:trHeight w:val="242"/>
        </w:trPr>
        <w:tc>
          <w:tcPr>
            <w:tcW w:w="630" w:type="dxa"/>
            <w:vMerge/>
          </w:tcPr>
          <w:p w:rsidR="00AA2771" w:rsidRPr="007F26A9" w:rsidRDefault="00AA2771" w:rsidP="00AA2771">
            <w:pPr>
              <w:widowControl w:val="0"/>
              <w:spacing w:before="100" w:beforeAutospacing="1" w:after="100" w:afterAutospacing="1" w:line="360" w:lineRule="auto"/>
              <w:rPr>
                <w:b/>
                <w:sz w:val="19"/>
              </w:rPr>
            </w:pPr>
          </w:p>
        </w:tc>
        <w:tc>
          <w:tcPr>
            <w:tcW w:w="3420" w:type="dxa"/>
            <w:vMerge/>
          </w:tcPr>
          <w:p w:rsidR="00AA2771" w:rsidRPr="007F26A9" w:rsidRDefault="00AA2771" w:rsidP="00AA2771">
            <w:pPr>
              <w:widowControl w:val="0"/>
              <w:spacing w:before="100" w:beforeAutospacing="1" w:after="100" w:afterAutospacing="1" w:line="360" w:lineRule="auto"/>
              <w:rPr>
                <w:sz w:val="19"/>
              </w:rPr>
            </w:pPr>
          </w:p>
        </w:tc>
        <w:tc>
          <w:tcPr>
            <w:tcW w:w="1144" w:type="dxa"/>
            <w:gridSpan w:val="5"/>
            <w:vMerge/>
          </w:tcPr>
          <w:p w:rsidR="00AA2771" w:rsidRPr="007F26A9" w:rsidRDefault="00AA2771" w:rsidP="00AA2771">
            <w:pPr>
              <w:widowControl w:val="0"/>
              <w:spacing w:before="100" w:beforeAutospacing="1" w:after="100" w:afterAutospacing="1" w:line="360" w:lineRule="auto"/>
              <w:rPr>
                <w:sz w:val="19"/>
              </w:rPr>
            </w:pPr>
          </w:p>
        </w:tc>
        <w:tc>
          <w:tcPr>
            <w:tcW w:w="1286" w:type="dxa"/>
            <w:gridSpan w:val="3"/>
            <w:vMerge/>
          </w:tcPr>
          <w:p w:rsidR="00AA2771" w:rsidRPr="007F26A9" w:rsidRDefault="00AA2771" w:rsidP="00AA2771">
            <w:pPr>
              <w:widowControl w:val="0"/>
              <w:spacing w:before="100" w:beforeAutospacing="1" w:after="100" w:afterAutospacing="1" w:line="360" w:lineRule="auto"/>
              <w:rPr>
                <w:sz w:val="19"/>
              </w:rPr>
            </w:pPr>
          </w:p>
        </w:tc>
        <w:tc>
          <w:tcPr>
            <w:tcW w:w="1350" w:type="dxa"/>
            <w:gridSpan w:val="2"/>
            <w:vMerge/>
          </w:tcPr>
          <w:p w:rsidR="00AA2771" w:rsidRPr="007F26A9" w:rsidRDefault="00AA2771" w:rsidP="00AA2771">
            <w:pPr>
              <w:widowControl w:val="0"/>
              <w:spacing w:before="100" w:beforeAutospacing="1" w:after="100" w:afterAutospacing="1" w:line="360" w:lineRule="auto"/>
              <w:rPr>
                <w:sz w:val="19"/>
              </w:rPr>
            </w:pPr>
          </w:p>
        </w:tc>
        <w:tc>
          <w:tcPr>
            <w:tcW w:w="1890" w:type="dxa"/>
            <w:gridSpan w:val="3"/>
          </w:tcPr>
          <w:p w:rsidR="00AA2771" w:rsidRPr="007F26A9" w:rsidRDefault="00AA2771" w:rsidP="00AA2771">
            <w:pPr>
              <w:widowControl w:val="0"/>
              <w:spacing w:before="100" w:beforeAutospacing="1" w:after="100" w:afterAutospacing="1" w:line="360" w:lineRule="auto"/>
              <w:rPr>
                <w:sz w:val="19"/>
              </w:rPr>
            </w:pPr>
            <w:r w:rsidRPr="007F26A9">
              <w:rPr>
                <w:sz w:val="19"/>
              </w:rPr>
              <w:t>4</w:t>
            </w:r>
          </w:p>
        </w:tc>
      </w:tr>
      <w:tr w:rsidR="00AA2771" w:rsidRPr="007F26A9" w:rsidTr="00AA2771">
        <w:trPr>
          <w:trHeight w:val="139"/>
        </w:trPr>
        <w:tc>
          <w:tcPr>
            <w:tcW w:w="630" w:type="dxa"/>
            <w:vMerge/>
          </w:tcPr>
          <w:p w:rsidR="00AA2771" w:rsidRPr="007F26A9" w:rsidRDefault="00AA2771" w:rsidP="00AA2771">
            <w:pPr>
              <w:widowControl w:val="0"/>
              <w:spacing w:before="100" w:beforeAutospacing="1" w:after="100" w:afterAutospacing="1" w:line="360" w:lineRule="auto"/>
              <w:rPr>
                <w:b/>
                <w:sz w:val="19"/>
              </w:rPr>
            </w:pPr>
          </w:p>
        </w:tc>
        <w:tc>
          <w:tcPr>
            <w:tcW w:w="3420" w:type="dxa"/>
          </w:tcPr>
          <w:p w:rsidR="00AA2771" w:rsidRPr="007F26A9" w:rsidRDefault="00AA2771" w:rsidP="00AA2771">
            <w:pPr>
              <w:widowControl w:val="0"/>
              <w:spacing w:before="100" w:beforeAutospacing="1" w:after="100" w:afterAutospacing="1" w:line="360" w:lineRule="auto"/>
              <w:rPr>
                <w:sz w:val="19"/>
              </w:rPr>
            </w:pPr>
            <w:r w:rsidRPr="007F26A9">
              <w:rPr>
                <w:sz w:val="19"/>
              </w:rPr>
              <w:t>2015 EN  (305)</w:t>
            </w:r>
          </w:p>
        </w:tc>
        <w:tc>
          <w:tcPr>
            <w:tcW w:w="1144" w:type="dxa"/>
            <w:gridSpan w:val="5"/>
          </w:tcPr>
          <w:p w:rsidR="00AA2771" w:rsidRPr="007F26A9" w:rsidRDefault="00AA2771" w:rsidP="00AA2771">
            <w:pPr>
              <w:widowControl w:val="0"/>
              <w:spacing w:before="100" w:beforeAutospacing="1" w:after="100" w:afterAutospacing="1" w:line="360" w:lineRule="auto"/>
              <w:rPr>
                <w:sz w:val="19"/>
              </w:rPr>
            </w:pPr>
            <w:r w:rsidRPr="007F26A9">
              <w:rPr>
                <w:sz w:val="19"/>
              </w:rPr>
              <w:t>$100,000</w:t>
            </w:r>
          </w:p>
        </w:tc>
        <w:tc>
          <w:tcPr>
            <w:tcW w:w="1286" w:type="dxa"/>
            <w:gridSpan w:val="3"/>
          </w:tcPr>
          <w:p w:rsidR="00AA2771" w:rsidRPr="007F26A9" w:rsidRDefault="00AA2771" w:rsidP="00AA2771">
            <w:pPr>
              <w:widowControl w:val="0"/>
              <w:spacing w:before="100" w:beforeAutospacing="1" w:after="100" w:afterAutospacing="1" w:line="360" w:lineRule="auto"/>
              <w:rPr>
                <w:sz w:val="19"/>
              </w:rPr>
            </w:pPr>
            <w:r w:rsidRPr="007F26A9">
              <w:rPr>
                <w:sz w:val="19"/>
              </w:rPr>
              <w:t xml:space="preserve">$3,500 </w:t>
            </w:r>
          </w:p>
        </w:tc>
        <w:tc>
          <w:tcPr>
            <w:tcW w:w="1350" w:type="dxa"/>
            <w:gridSpan w:val="2"/>
          </w:tcPr>
          <w:p w:rsidR="00AA2771" w:rsidRPr="007F26A9" w:rsidRDefault="00AA2771" w:rsidP="00AA2771">
            <w:pPr>
              <w:widowControl w:val="0"/>
              <w:spacing w:before="100" w:beforeAutospacing="1" w:after="100" w:afterAutospacing="1" w:line="360" w:lineRule="auto"/>
              <w:rPr>
                <w:sz w:val="19"/>
              </w:rPr>
            </w:pPr>
            <w:r w:rsidRPr="007F26A9">
              <w:rPr>
                <w:sz w:val="19"/>
              </w:rPr>
              <w:t>5-7 loans</w:t>
            </w:r>
          </w:p>
        </w:tc>
        <w:tc>
          <w:tcPr>
            <w:tcW w:w="1890" w:type="dxa"/>
            <w:gridSpan w:val="3"/>
          </w:tcPr>
          <w:p w:rsidR="00AA2771" w:rsidRPr="007F26A9" w:rsidRDefault="00AA2771" w:rsidP="00AA2771">
            <w:pPr>
              <w:widowControl w:val="0"/>
              <w:spacing w:before="100" w:beforeAutospacing="1" w:after="100" w:afterAutospacing="1" w:line="360" w:lineRule="auto"/>
              <w:rPr>
                <w:sz w:val="19"/>
              </w:rPr>
            </w:pPr>
            <w:r w:rsidRPr="007F26A9">
              <w:rPr>
                <w:sz w:val="19"/>
              </w:rPr>
              <w:t>5</w:t>
            </w:r>
          </w:p>
        </w:tc>
      </w:tr>
      <w:tr w:rsidR="00AA2771" w:rsidRPr="007F26A9" w:rsidTr="00AA2771">
        <w:trPr>
          <w:trHeight w:val="139"/>
        </w:trPr>
        <w:tc>
          <w:tcPr>
            <w:tcW w:w="630" w:type="dxa"/>
            <w:vMerge/>
          </w:tcPr>
          <w:p w:rsidR="00AA2771" w:rsidRPr="007F26A9" w:rsidRDefault="00AA2771" w:rsidP="00AA2771">
            <w:pPr>
              <w:widowControl w:val="0"/>
              <w:spacing w:before="100" w:beforeAutospacing="1" w:after="100" w:afterAutospacing="1" w:line="360" w:lineRule="auto"/>
              <w:rPr>
                <w:b/>
                <w:sz w:val="19"/>
              </w:rPr>
            </w:pPr>
          </w:p>
        </w:tc>
        <w:tc>
          <w:tcPr>
            <w:tcW w:w="3420" w:type="dxa"/>
          </w:tcPr>
          <w:p w:rsidR="00AA2771" w:rsidRPr="007F26A9" w:rsidRDefault="00AA2771" w:rsidP="00AA2771">
            <w:pPr>
              <w:widowControl w:val="0"/>
              <w:spacing w:before="100" w:beforeAutospacing="1" w:after="100" w:afterAutospacing="1" w:line="360" w:lineRule="auto"/>
              <w:rPr>
                <w:sz w:val="19"/>
              </w:rPr>
            </w:pPr>
            <w:r w:rsidRPr="007F26A9">
              <w:rPr>
                <w:sz w:val="19"/>
              </w:rPr>
              <w:t>2015 Revolving Loan Program Income</w:t>
            </w:r>
          </w:p>
        </w:tc>
        <w:tc>
          <w:tcPr>
            <w:tcW w:w="1144" w:type="dxa"/>
            <w:gridSpan w:val="5"/>
          </w:tcPr>
          <w:p w:rsidR="00AA2771" w:rsidRPr="007F26A9" w:rsidRDefault="00AA2771" w:rsidP="00AA2771">
            <w:pPr>
              <w:widowControl w:val="0"/>
              <w:spacing w:before="100" w:beforeAutospacing="1" w:after="100" w:afterAutospacing="1" w:line="360" w:lineRule="auto"/>
              <w:rPr>
                <w:sz w:val="19"/>
              </w:rPr>
            </w:pPr>
            <w:r w:rsidRPr="007F26A9">
              <w:rPr>
                <w:sz w:val="19"/>
              </w:rPr>
              <w:t>$33,500</w:t>
            </w:r>
          </w:p>
        </w:tc>
        <w:tc>
          <w:tcPr>
            <w:tcW w:w="1286" w:type="dxa"/>
            <w:gridSpan w:val="3"/>
          </w:tcPr>
          <w:p w:rsidR="00AA2771" w:rsidRPr="007F26A9" w:rsidRDefault="00AA2771" w:rsidP="00AA2771">
            <w:pPr>
              <w:widowControl w:val="0"/>
              <w:spacing w:before="100" w:beforeAutospacing="1" w:after="100" w:afterAutospacing="1" w:line="360" w:lineRule="auto"/>
              <w:rPr>
                <w:sz w:val="19"/>
              </w:rPr>
            </w:pPr>
            <w:r w:rsidRPr="007F26A9">
              <w:rPr>
                <w:sz w:val="19"/>
              </w:rPr>
              <w:t>$0</w:t>
            </w:r>
          </w:p>
        </w:tc>
        <w:tc>
          <w:tcPr>
            <w:tcW w:w="1350" w:type="dxa"/>
            <w:gridSpan w:val="2"/>
          </w:tcPr>
          <w:p w:rsidR="00AA2771" w:rsidRPr="007F26A9" w:rsidRDefault="00AA2771" w:rsidP="00AA2771">
            <w:pPr>
              <w:widowControl w:val="0"/>
              <w:spacing w:before="100" w:beforeAutospacing="1" w:after="100" w:afterAutospacing="1" w:line="360" w:lineRule="auto"/>
              <w:rPr>
                <w:sz w:val="19"/>
              </w:rPr>
            </w:pPr>
          </w:p>
        </w:tc>
        <w:tc>
          <w:tcPr>
            <w:tcW w:w="1890" w:type="dxa"/>
            <w:gridSpan w:val="3"/>
          </w:tcPr>
          <w:p w:rsidR="00AA2771" w:rsidRPr="007F26A9" w:rsidRDefault="00AA2771" w:rsidP="00AA2771">
            <w:pPr>
              <w:widowControl w:val="0"/>
              <w:spacing w:before="100" w:beforeAutospacing="1" w:after="100" w:afterAutospacing="1" w:line="360" w:lineRule="auto"/>
              <w:rPr>
                <w:sz w:val="19"/>
              </w:rPr>
            </w:pPr>
            <w:r w:rsidRPr="007F26A9">
              <w:rPr>
                <w:sz w:val="19"/>
              </w:rPr>
              <w:t>2</w:t>
            </w:r>
          </w:p>
        </w:tc>
      </w:tr>
      <w:tr w:rsidR="00AA2771" w:rsidRPr="007F26A9" w:rsidTr="00AA2771">
        <w:trPr>
          <w:trHeight w:val="139"/>
        </w:trPr>
        <w:tc>
          <w:tcPr>
            <w:tcW w:w="630" w:type="dxa"/>
            <w:vMerge/>
          </w:tcPr>
          <w:p w:rsidR="00AA2771" w:rsidRPr="007F26A9" w:rsidRDefault="00AA2771" w:rsidP="00AA2771">
            <w:pPr>
              <w:widowControl w:val="0"/>
              <w:spacing w:before="100" w:beforeAutospacing="1" w:after="100" w:afterAutospacing="1" w:line="360" w:lineRule="auto"/>
              <w:rPr>
                <w:b/>
                <w:sz w:val="19"/>
              </w:rPr>
            </w:pPr>
          </w:p>
        </w:tc>
        <w:tc>
          <w:tcPr>
            <w:tcW w:w="3420" w:type="dxa"/>
          </w:tcPr>
          <w:p w:rsidR="00AA2771" w:rsidRPr="007F26A9" w:rsidRDefault="00AA2771" w:rsidP="00AA2771">
            <w:pPr>
              <w:widowControl w:val="0"/>
              <w:spacing w:before="100" w:beforeAutospacing="1" w:after="100" w:afterAutospacing="1" w:line="360" w:lineRule="auto"/>
              <w:jc w:val="right"/>
              <w:rPr>
                <w:b/>
                <w:sz w:val="19"/>
              </w:rPr>
            </w:pPr>
            <w:r w:rsidRPr="007F26A9">
              <w:rPr>
                <w:b/>
                <w:sz w:val="19"/>
              </w:rPr>
              <w:t>Ending Balance of EN and PI</w:t>
            </w:r>
          </w:p>
        </w:tc>
        <w:tc>
          <w:tcPr>
            <w:tcW w:w="2430" w:type="dxa"/>
            <w:gridSpan w:val="8"/>
            <w:vAlign w:val="bottom"/>
          </w:tcPr>
          <w:p w:rsidR="00AA2771" w:rsidRPr="007F26A9" w:rsidRDefault="00AA2771" w:rsidP="00AA2771">
            <w:pPr>
              <w:widowControl w:val="0"/>
              <w:spacing w:before="100" w:beforeAutospacing="1" w:after="100" w:afterAutospacing="1" w:line="360" w:lineRule="auto"/>
              <w:jc w:val="right"/>
              <w:rPr>
                <w:b/>
                <w:sz w:val="19"/>
              </w:rPr>
            </w:pPr>
            <w:r w:rsidRPr="007F26A9">
              <w:rPr>
                <w:b/>
                <w:sz w:val="19"/>
              </w:rPr>
              <w:t>$3,500</w:t>
            </w:r>
          </w:p>
        </w:tc>
        <w:tc>
          <w:tcPr>
            <w:tcW w:w="1350" w:type="dxa"/>
            <w:gridSpan w:val="2"/>
          </w:tcPr>
          <w:p w:rsidR="00AA2771" w:rsidRPr="007F26A9" w:rsidRDefault="00AA2771" w:rsidP="00AA2771">
            <w:pPr>
              <w:widowControl w:val="0"/>
              <w:spacing w:before="100" w:beforeAutospacing="1" w:after="100" w:afterAutospacing="1" w:line="360" w:lineRule="auto"/>
              <w:rPr>
                <w:b/>
                <w:sz w:val="19"/>
              </w:rPr>
            </w:pPr>
            <w:r w:rsidRPr="007F26A9">
              <w:rPr>
                <w:b/>
                <w:sz w:val="19"/>
              </w:rPr>
              <w:t>10-12 loans</w:t>
            </w:r>
          </w:p>
        </w:tc>
        <w:tc>
          <w:tcPr>
            <w:tcW w:w="1890" w:type="dxa"/>
            <w:gridSpan w:val="3"/>
          </w:tcPr>
          <w:p w:rsidR="00AA2771" w:rsidRPr="007F26A9" w:rsidRDefault="00AA2771" w:rsidP="00AA2771">
            <w:pPr>
              <w:widowControl w:val="0"/>
              <w:spacing w:before="100" w:beforeAutospacing="1" w:after="100" w:afterAutospacing="1" w:line="360" w:lineRule="auto"/>
              <w:rPr>
                <w:b/>
                <w:sz w:val="19"/>
              </w:rPr>
            </w:pPr>
            <w:r w:rsidRPr="007F26A9">
              <w:rPr>
                <w:b/>
                <w:sz w:val="19"/>
              </w:rPr>
              <w:t xml:space="preserve"> 14 loans</w:t>
            </w:r>
          </w:p>
        </w:tc>
      </w:tr>
      <w:tr w:rsidR="00AA2771" w:rsidRPr="007F26A9" w:rsidTr="00AA2771">
        <w:trPr>
          <w:trHeight w:val="431"/>
        </w:trPr>
        <w:tc>
          <w:tcPr>
            <w:tcW w:w="630" w:type="dxa"/>
            <w:vMerge/>
          </w:tcPr>
          <w:p w:rsidR="00AA2771" w:rsidRPr="007F26A9" w:rsidRDefault="00AA2771" w:rsidP="00AA2771">
            <w:pPr>
              <w:widowControl w:val="0"/>
              <w:spacing w:before="100" w:beforeAutospacing="1" w:after="100" w:afterAutospacing="1" w:line="360" w:lineRule="auto"/>
              <w:rPr>
                <w:b/>
                <w:sz w:val="19"/>
              </w:rPr>
            </w:pPr>
          </w:p>
        </w:tc>
        <w:tc>
          <w:tcPr>
            <w:tcW w:w="9090" w:type="dxa"/>
            <w:gridSpan w:val="14"/>
          </w:tcPr>
          <w:p w:rsidR="00AA2771" w:rsidRPr="007F26A9" w:rsidRDefault="00AA2771" w:rsidP="00AA2771">
            <w:pPr>
              <w:widowControl w:val="0"/>
              <w:spacing w:before="100" w:beforeAutospacing="1" w:after="100" w:afterAutospacing="1" w:line="240" w:lineRule="auto"/>
              <w:rPr>
                <w:b/>
                <w:sz w:val="16"/>
                <w:szCs w:val="16"/>
              </w:rPr>
            </w:pPr>
            <w:r w:rsidRPr="007F26A9">
              <w:rPr>
                <w:b/>
                <w:sz w:val="19"/>
              </w:rPr>
              <w:t>Narrative</w:t>
            </w:r>
            <w:r w:rsidRPr="007F26A9">
              <w:rPr>
                <w:sz w:val="19"/>
              </w:rPr>
              <w:t xml:space="preserve">:  Goal of 5-7 loans was met for 2015; remaining $3,500 to be reprogrammed in 2016. </w:t>
            </w:r>
          </w:p>
        </w:tc>
      </w:tr>
    </w:tbl>
    <w:p w:rsidR="00470275" w:rsidRDefault="007F26A9" w:rsidP="00D336A4">
      <w:pPr>
        <w:widowControl w:val="0"/>
        <w:spacing w:after="0"/>
        <w:rPr>
          <w:b/>
          <w:sz w:val="20"/>
          <w:szCs w:val="20"/>
        </w:rPr>
      </w:pPr>
      <w:r w:rsidRPr="007F26A9">
        <w:rPr>
          <w:rFonts w:eastAsia="Times New Roman"/>
          <w:b/>
          <w:noProof/>
          <w:sz w:val="19"/>
          <w:szCs w:val="20"/>
        </w:rPr>
        <mc:AlternateContent>
          <mc:Choice Requires="wps">
            <w:drawing>
              <wp:anchor distT="0" distB="0" distL="114300" distR="114300" simplePos="0" relativeHeight="251659264" behindDoc="0" locked="0" layoutInCell="1" allowOverlap="1" wp14:anchorId="2374AAE8" wp14:editId="4DCD4A64">
                <wp:simplePos x="0" y="0"/>
                <wp:positionH relativeFrom="column">
                  <wp:posOffset>-91440</wp:posOffset>
                </wp:positionH>
                <wp:positionV relativeFrom="paragraph">
                  <wp:posOffset>-651510</wp:posOffset>
                </wp:positionV>
                <wp:extent cx="6187440" cy="452120"/>
                <wp:effectExtent l="0" t="0" r="22860" b="2413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7440" cy="452120"/>
                        </a:xfrm>
                        <a:prstGeom prst="rect">
                          <a:avLst/>
                        </a:prstGeom>
                        <a:solidFill>
                          <a:srgbClr val="FFFFFF"/>
                        </a:solidFill>
                        <a:ln w="9525">
                          <a:solidFill>
                            <a:srgbClr val="000000"/>
                          </a:solidFill>
                          <a:miter lim="800000"/>
                          <a:headEnd/>
                          <a:tailEnd/>
                        </a:ln>
                      </wps:spPr>
                      <wps:txbx>
                        <w:txbxContent>
                          <w:p w:rsidR="007F26A9" w:rsidRDefault="007F26A9">
                            <w:r>
                              <w:t xml:space="preserve">NOTE: The City’s final financial report is not yet available. This page will be updated as soon as the final reports are created and this page will be replaced before the end of the public review and comment period.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2pt;margin-top:-51.3pt;width:487.2pt;height:3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">
                <v:textbox>
                  <w:txbxContent>
                    <w:p w:rsidR="007F26A9" w:rsidRDefault="007F26A9">
                      <w:r>
                        <w:t xml:space="preserve">NOTE: The City’s final financial report is not yet available. This page will be updated as soon as the final reports are created and this page will be replaced before the end of the public review and comment period. </w:t>
                      </w:r>
                    </w:p>
                  </w:txbxContent>
                </v:textbox>
              </v:shape>
            </w:pict>
          </mc:Fallback>
        </mc:AlternateContent>
      </w:r>
      <w:r w:rsidR="00B85C56" w:rsidRPr="007F26A9">
        <w:rPr>
          <w:b/>
          <w:i/>
          <w:sz w:val="20"/>
          <w:szCs w:val="20"/>
        </w:rPr>
        <w:t>Table 3:</w:t>
      </w:r>
      <w:r w:rsidR="00B85C56" w:rsidRPr="007F26A9">
        <w:rPr>
          <w:b/>
          <w:sz w:val="20"/>
          <w:szCs w:val="20"/>
        </w:rPr>
        <w:t xml:space="preserve">  Program</w:t>
      </w:r>
      <w:r w:rsidR="00887488" w:rsidRPr="007F26A9">
        <w:rPr>
          <w:b/>
          <w:sz w:val="20"/>
          <w:szCs w:val="20"/>
        </w:rPr>
        <w:t>s</w:t>
      </w:r>
      <w:r w:rsidR="00B85C56" w:rsidRPr="007F26A9">
        <w:rPr>
          <w:b/>
          <w:sz w:val="20"/>
          <w:szCs w:val="20"/>
        </w:rPr>
        <w:t xml:space="preserve"> in Progress and Balances</w:t>
      </w:r>
    </w:p>
    <w:p w:rsidR="00D336A4" w:rsidRDefault="00D336A4" w:rsidP="00D336A4">
      <w:pPr>
        <w:widowControl w:val="0"/>
        <w:spacing w:after="0"/>
        <w:rPr>
          <w:b/>
          <w:sz w:val="20"/>
          <w:szCs w:val="20"/>
        </w:rPr>
        <w:sectPr w:rsidR="00D336A4" w:rsidSect="0076588A">
          <w:pgSz w:w="12240" w:h="15840" w:code="1"/>
          <w:pgMar w:top="1530" w:right="1440" w:bottom="1440" w:left="1440" w:header="720" w:footer="720" w:gutter="0"/>
          <w:cols w:space="720"/>
          <w:docGrid w:linePitch="360"/>
        </w:sectPr>
      </w:pPr>
    </w:p>
    <w:p w:rsidR="00470275" w:rsidRPr="00D336A4" w:rsidRDefault="00470275" w:rsidP="00470275">
      <w:pPr>
        <w:widowControl w:val="0"/>
        <w:rPr>
          <w:b/>
          <w:sz w:val="24"/>
          <w:szCs w:val="24"/>
        </w:rPr>
      </w:pPr>
      <w:r w:rsidRPr="00D336A4">
        <w:rPr>
          <w:b/>
          <w:sz w:val="24"/>
          <w:szCs w:val="24"/>
        </w:rPr>
        <w:lastRenderedPageBreak/>
        <w:t>Narrative: Program Income (PI) Reuse</w:t>
      </w:r>
    </w:p>
    <w:p w:rsidR="00781085" w:rsidRPr="00D336A4" w:rsidRDefault="00470275" w:rsidP="00962CDA">
      <w:pPr>
        <w:widowControl w:val="0"/>
      </w:pPr>
      <w:r w:rsidRPr="00D336A4">
        <w:t>As reported in the 2</w:t>
      </w:r>
      <w:r w:rsidR="007D35EA" w:rsidRPr="00D336A4">
        <w:t>01</w:t>
      </w:r>
      <w:r w:rsidR="00D336A4">
        <w:t>6</w:t>
      </w:r>
      <w:r w:rsidRPr="00D336A4">
        <w:t xml:space="preserve"> CAPER, the City of Santa Fe receives quarterly reports from sub-recipients’ activities on all accomplishments, which include the detail on program income generated, for those applicable.  The activities that the City has funded with CDBG Entitlement funds in past years tha</w:t>
      </w:r>
      <w:r w:rsidR="007D5974" w:rsidRPr="00D336A4">
        <w:t>t have generated program income</w:t>
      </w:r>
      <w:r w:rsidRPr="00D336A4">
        <w:t xml:space="preserve"> are loans to individual homeowners administered by sub-recipient organizations for Down Payment Assistance (DPA)</w:t>
      </w:r>
      <w:r w:rsidR="007D5974" w:rsidRPr="00D336A4">
        <w:t>;</w:t>
      </w:r>
      <w:r w:rsidRPr="00D336A4">
        <w:t xml:space="preserve"> loans to homeowners administered by sub-recipient organizations for Home Improvement (HI); and small business economic development loans in repayment from the 2011 Santa Fe’s Small Business Loan Fund (SFBLF).  </w:t>
      </w:r>
      <w:r w:rsidR="00781085" w:rsidRPr="00D336A4">
        <w:t>PI is funded by a repaid loan when a home is sold, where the original down payment assistance is revolved dollar-for-dollar back into the program to fund more loans, as in the case of the Housing Trust.  Alternatively, PI is also funded by</w:t>
      </w:r>
      <w:r w:rsidR="00CE41C0" w:rsidRPr="00D336A4">
        <w:t xml:space="preserve"> principal, interest, late fees and loans due upon sale that have been paid off over the course of the program year, as in the case of Homewise’s two programs.</w:t>
      </w:r>
    </w:p>
    <w:p w:rsidR="00470275" w:rsidRPr="00D336A4" w:rsidRDefault="00470275" w:rsidP="00962CDA">
      <w:pPr>
        <w:widowControl w:val="0"/>
      </w:pPr>
      <w:r w:rsidRPr="00D336A4">
        <w:t xml:space="preserve">Pursuant to the definition of program income located at 24 CFR 570.489, these activities include the following:  </w:t>
      </w:r>
    </w:p>
    <w:p w:rsidR="00470275" w:rsidRPr="00D336A4" w:rsidRDefault="00470275" w:rsidP="00962CDA">
      <w:pPr>
        <w:pStyle w:val="ListParagraph"/>
        <w:widowControl w:val="0"/>
        <w:numPr>
          <w:ilvl w:val="0"/>
          <w:numId w:val="19"/>
        </w:numPr>
      </w:pPr>
      <w:r w:rsidRPr="00D336A4">
        <w:t xml:space="preserve">Sale, lease, rental proceeds of property acquired with/improved by CDBG funds; and </w:t>
      </w:r>
    </w:p>
    <w:p w:rsidR="00470275" w:rsidRPr="00D336A4" w:rsidRDefault="00470275" w:rsidP="00962CDA">
      <w:pPr>
        <w:pStyle w:val="ListParagraph"/>
        <w:widowControl w:val="0"/>
        <w:numPr>
          <w:ilvl w:val="0"/>
          <w:numId w:val="19"/>
        </w:numPr>
      </w:pPr>
      <w:r w:rsidRPr="00D336A4">
        <w:t>Principal and interest payments on loans made from CDBG funds; and</w:t>
      </w:r>
    </w:p>
    <w:p w:rsidR="00470275" w:rsidRPr="00D336A4" w:rsidRDefault="00470275" w:rsidP="00962CDA">
      <w:pPr>
        <w:pStyle w:val="ListParagraph"/>
        <w:widowControl w:val="0"/>
        <w:numPr>
          <w:ilvl w:val="0"/>
          <w:numId w:val="19"/>
        </w:numPr>
      </w:pPr>
      <w:r w:rsidRPr="00D336A4">
        <w:t xml:space="preserve">Proceeds from sale of CDBG loans or other obligations; and </w:t>
      </w:r>
    </w:p>
    <w:p w:rsidR="00470275" w:rsidRPr="00D336A4" w:rsidRDefault="00470275" w:rsidP="00962CDA">
      <w:pPr>
        <w:pStyle w:val="ListParagraph"/>
        <w:widowControl w:val="0"/>
        <w:numPr>
          <w:ilvl w:val="0"/>
          <w:numId w:val="19"/>
        </w:numPr>
      </w:pPr>
      <w:r w:rsidRPr="00D336A4">
        <w:t>Interest earned on funds in a revolving loan fund account or on program income</w:t>
      </w:r>
      <w:r w:rsidR="00B85C56" w:rsidRPr="00D336A4">
        <w:t>,</w:t>
      </w:r>
      <w:r w:rsidRPr="00D336A4">
        <w:t xml:space="preserve"> pending reuse</w:t>
      </w:r>
    </w:p>
    <w:p w:rsidR="00470275" w:rsidRPr="00D336A4" w:rsidRDefault="00E809BC" w:rsidP="00962CDA">
      <w:pPr>
        <w:widowControl w:val="0"/>
      </w:pPr>
      <w:r w:rsidRPr="00D336A4">
        <w:t>Just as in the previous</w:t>
      </w:r>
      <w:r w:rsidR="00470275" w:rsidRPr="00D336A4">
        <w:t xml:space="preserve"> year, the City funded </w:t>
      </w:r>
      <w:r w:rsidR="00B85C56" w:rsidRPr="00D336A4">
        <w:t>two (2</w:t>
      </w:r>
      <w:r w:rsidR="00470275" w:rsidRPr="00D336A4">
        <w:t>) DPA programs that generated program income: Homewise and The Housing Trust</w:t>
      </w:r>
      <w:r w:rsidR="00B85C56" w:rsidRPr="00D336A4">
        <w:t>, as well as a</w:t>
      </w:r>
      <w:r w:rsidR="00470275" w:rsidRPr="00D336A4">
        <w:t xml:space="preserve"> Home I</w:t>
      </w:r>
      <w:r w:rsidRPr="00D336A4">
        <w:t>mprovement project via Homewise in a contract extended from 2014</w:t>
      </w:r>
      <w:r w:rsidR="00B85C56" w:rsidRPr="00D336A4">
        <w:t>.</w:t>
      </w:r>
      <w:r w:rsidR="00A327FE" w:rsidRPr="00D336A4">
        <w:t xml:space="preserve">  Table 3 illustrates the status of Pr</w:t>
      </w:r>
      <w:r w:rsidR="007A5CD8" w:rsidRPr="00D336A4">
        <w:t>ogram Income-generating projects, where contracts have been extended into the current program year, with corresponding loan totals demonstrating where accomplishment goals have been met or exceeded due to program income being recycled back into projects for which a sub-recipient is under a CDBG-funded contract with the City to provide.</w:t>
      </w:r>
    </w:p>
    <w:p w:rsidR="00F40728" w:rsidRPr="00D336A4" w:rsidRDefault="00470275" w:rsidP="00962CDA">
      <w:pPr>
        <w:widowControl w:val="0"/>
      </w:pPr>
      <w:r w:rsidRPr="00D336A4">
        <w:t xml:space="preserve">Program Income totals are reported by the applicable sub-recipients to the CDBG Administrator on a </w:t>
      </w:r>
      <w:r w:rsidR="00E809BC" w:rsidRPr="00D336A4">
        <w:t>q</w:t>
      </w:r>
      <w:r w:rsidRPr="00D336A4">
        <w:t>u</w:t>
      </w:r>
      <w:r w:rsidR="00C5491E" w:rsidRPr="00D336A4">
        <w:t>arterly basis each program year</w:t>
      </w:r>
      <w:r w:rsidR="00D336A4">
        <w:t>. They are</w:t>
      </w:r>
      <w:r w:rsidR="00C5491E" w:rsidRPr="00D336A4">
        <w:t xml:space="preserve"> subsequently recorded and drawn in HUD’s Integrated Disbursement &amp; Information System (IDIS) by quarter, and verified and closed out, where applicable, by the Fiscal and Program Year end of June 30, 201</w:t>
      </w:r>
      <w:r w:rsidR="00D336A4">
        <w:t>7</w:t>
      </w:r>
      <w:r w:rsidR="00C5491E" w:rsidRPr="00D336A4">
        <w:t>.</w:t>
      </w:r>
      <w:r w:rsidRPr="00D336A4">
        <w:t xml:space="preserve">  Included in these reports are the number of loans funded and the dollar amount of the funding that occurred for the quarter</w:t>
      </w:r>
      <w:r w:rsidR="00C5491E" w:rsidRPr="00D336A4">
        <w:t>.</w:t>
      </w:r>
      <w:r w:rsidRPr="00D336A4">
        <w:t xml:space="preserve">  DPA and HI activities are receipted back to the IDIS Activity ID that generated the </w:t>
      </w:r>
      <w:r w:rsidR="00C5491E" w:rsidRPr="00D336A4">
        <w:t>funding</w:t>
      </w:r>
      <w:r w:rsidRPr="00D336A4">
        <w:t>, except in the cases where program income is transferred between</w:t>
      </w:r>
      <w:r w:rsidR="00C5491E" w:rsidRPr="00D336A4">
        <w:t xml:space="preserve"> CDBG-eligible programs</w:t>
      </w:r>
      <w:r w:rsidRPr="00D336A4">
        <w:t xml:space="preserve"> </w:t>
      </w:r>
      <w:r w:rsidR="00C5491E" w:rsidRPr="00D336A4">
        <w:t>for which the sub</w:t>
      </w:r>
      <w:r w:rsidR="00E809BC" w:rsidRPr="00D336A4">
        <w:t>-</w:t>
      </w:r>
      <w:r w:rsidR="00C5491E" w:rsidRPr="00D336A4">
        <w:t>recipient is under CDBG contract to provide</w:t>
      </w:r>
      <w:r w:rsidRPr="00D336A4">
        <w:t xml:space="preserve"> </w:t>
      </w:r>
      <w:r w:rsidR="00C5491E" w:rsidRPr="00D336A4">
        <w:t>with the</w:t>
      </w:r>
      <w:r w:rsidR="00F40728" w:rsidRPr="00D336A4">
        <w:t xml:space="preserve"> City.  The exception to this rule is program income that is receipted in IDIS </w:t>
      </w:r>
      <w:r w:rsidR="00B80D67" w:rsidRPr="00D336A4">
        <w:t xml:space="preserve">and </w:t>
      </w:r>
      <w:r w:rsidR="00F40728" w:rsidRPr="00D336A4">
        <w:t>is labeled</w:t>
      </w:r>
      <w:r w:rsidR="00B80D67" w:rsidRPr="00D336A4">
        <w:t xml:space="preserve"> </w:t>
      </w:r>
      <w:r w:rsidR="00F40728" w:rsidRPr="00D336A4">
        <w:t xml:space="preserve">as Revolving Loan (RL), which is only used for the program that generated it.  Furthermore, IDIS does not permit draws for any other CDBG activity other than that which generated </w:t>
      </w:r>
      <w:r w:rsidR="00B80D67" w:rsidRPr="00D336A4">
        <w:t xml:space="preserve">those recorded as the revolving loan </w:t>
      </w:r>
      <w:r w:rsidR="00A327FE" w:rsidRPr="00D336A4">
        <w:t>type</w:t>
      </w:r>
      <w:r w:rsidR="00B80D67" w:rsidRPr="00D336A4">
        <w:t xml:space="preserve"> of program income</w:t>
      </w:r>
      <w:r w:rsidR="00F40728" w:rsidRPr="00D336A4">
        <w:t xml:space="preserve">.  </w:t>
      </w:r>
    </w:p>
    <w:p w:rsidR="00F40728" w:rsidRPr="00D336A4" w:rsidRDefault="00470275" w:rsidP="00962CDA">
      <w:pPr>
        <w:widowControl w:val="0"/>
      </w:pPr>
      <w:r w:rsidRPr="00D336A4">
        <w:lastRenderedPageBreak/>
        <w:t xml:space="preserve">Per HUD regulations, the PI is drawn first prior to EN funds when the City processes vouchers for reimbursement.  To ensure the regulations are met, upon receipt, the PI is immediately drawn down and recorded to that activity, with the number of loans funded noted in the receipt function.  </w:t>
      </w:r>
      <w:r w:rsidR="00B80D67" w:rsidRPr="00D336A4">
        <w:t>Table 3</w:t>
      </w:r>
      <w:r w:rsidRPr="00D336A4">
        <w:t xml:space="preserve"> shows the activity that occurred in the 201</w:t>
      </w:r>
      <w:r w:rsidR="00D336A4">
        <w:t>6</w:t>
      </w:r>
      <w:r w:rsidRPr="00D336A4">
        <w:t>-201</w:t>
      </w:r>
      <w:r w:rsidR="00D336A4">
        <w:t>7</w:t>
      </w:r>
      <w:r w:rsidRPr="00D336A4">
        <w:t xml:space="preserve"> program year for sub-recipient</w:t>
      </w:r>
      <w:r w:rsidR="00F40728" w:rsidRPr="00D336A4">
        <w:t>s’</w:t>
      </w:r>
      <w:r w:rsidRPr="00D336A4">
        <w:t xml:space="preserve"> DPA and HI activities that are still open</w:t>
      </w:r>
      <w:r w:rsidR="00F40728" w:rsidRPr="00D336A4">
        <w:t xml:space="preserve"> with activity, along with their corresponding sub-recipient contracts that the City has pre-authorized to continue via time extension amendments</w:t>
      </w:r>
      <w:r w:rsidRPr="00D336A4">
        <w:t xml:space="preserve">. </w:t>
      </w:r>
      <w:r w:rsidR="0076588A" w:rsidRPr="00D336A4">
        <w:t>This table also shows both the PI and EN expenditures and corresponding accomplishments that occurred in the prior year.</w:t>
      </w:r>
    </w:p>
    <w:p w:rsidR="00470275" w:rsidRPr="00D336A4" w:rsidRDefault="00470275" w:rsidP="00962CDA">
      <w:pPr>
        <w:widowControl w:val="0"/>
      </w:pPr>
      <w:r w:rsidRPr="00D336A4">
        <w:t xml:space="preserve">As </w:t>
      </w:r>
      <w:r w:rsidR="00F40728" w:rsidRPr="00D336A4">
        <w:t xml:space="preserve">CDBG-funded </w:t>
      </w:r>
      <w:r w:rsidRPr="00D336A4">
        <w:t>client loans are paid off to the sub-recipient, principal and interest is collected and held by the sub-recipient, and reported back to the CDBG program. The PI generated by Homewise generates</w:t>
      </w:r>
      <w:r w:rsidR="005754A9" w:rsidRPr="00D336A4">
        <w:t xml:space="preserve"> bank</w:t>
      </w:r>
      <w:r w:rsidRPr="00D336A4">
        <w:t xml:space="preserve"> interest that is held in an interest bearing account, with total proceeds reported and remitted back to the City on an annual basis, and thus, reported</w:t>
      </w:r>
      <w:r w:rsidR="007D5974" w:rsidRPr="00D336A4">
        <w:t xml:space="preserve"> and remitted </w:t>
      </w:r>
      <w:r w:rsidRPr="00D336A4">
        <w:t>back to the Federal Government (HUD) on an annual basis.</w:t>
      </w:r>
      <w:r w:rsidR="00ED1B75" w:rsidRPr="00D336A4">
        <w:t xml:space="preserve">  In the 201</w:t>
      </w:r>
      <w:r w:rsidR="00D336A4">
        <w:t>6</w:t>
      </w:r>
      <w:r w:rsidR="00ED1B75" w:rsidRPr="00D336A4">
        <w:t>-201</w:t>
      </w:r>
      <w:r w:rsidR="00D336A4">
        <w:t>7</w:t>
      </w:r>
      <w:r w:rsidR="00ED1B75" w:rsidRPr="00D336A4">
        <w:t xml:space="preserve"> program year,</w:t>
      </w:r>
      <w:r w:rsidR="0076588A" w:rsidRPr="00D336A4">
        <w:t xml:space="preserve"> </w:t>
      </w:r>
      <w:r w:rsidR="00ED1B75" w:rsidRPr="00D336A4">
        <w:rPr>
          <w:highlight w:val="yellow"/>
        </w:rPr>
        <w:t>$</w:t>
      </w:r>
      <w:r w:rsidR="0076588A" w:rsidRPr="00D336A4">
        <w:rPr>
          <w:highlight w:val="yellow"/>
        </w:rPr>
        <w:t>29</w:t>
      </w:r>
      <w:r w:rsidR="00ED1B75" w:rsidRPr="00D336A4">
        <w:t xml:space="preserve"> was remitted back to the City</w:t>
      </w:r>
      <w:r w:rsidR="002679A8" w:rsidRPr="00D336A4">
        <w:t xml:space="preserve"> which was t</w:t>
      </w:r>
      <w:r w:rsidR="00486E7B" w:rsidRPr="00D336A4">
        <w:t>h</w:t>
      </w:r>
      <w:r w:rsidR="002679A8" w:rsidRPr="00D336A4">
        <w:t>en paid back to the federal treasury on behalf of HUD</w:t>
      </w:r>
      <w:r w:rsidR="00ED1B75" w:rsidRPr="00D336A4">
        <w:t>.</w:t>
      </w:r>
    </w:p>
    <w:p w:rsidR="00470275" w:rsidRPr="00D336A4" w:rsidRDefault="00470275" w:rsidP="00962CDA">
      <w:pPr>
        <w:widowControl w:val="0"/>
      </w:pPr>
      <w:r w:rsidRPr="00D336A4">
        <w:t xml:space="preserve">The CDBG entitlement regulations at 24 CFR 570.504(b) stipulate that at the end of each program year, </w:t>
      </w:r>
      <w:r w:rsidR="0076588A" w:rsidRPr="00D336A4">
        <w:t>a grantee (City), or its sub-recipients</w:t>
      </w:r>
      <w:r w:rsidRPr="00D336A4">
        <w:t xml:space="preserve"> </w:t>
      </w:r>
      <w:r w:rsidRPr="00D336A4">
        <w:rPr>
          <w:i/>
          <w:u w:val="single"/>
        </w:rPr>
        <w:t>may not</w:t>
      </w:r>
      <w:r w:rsidRPr="00D336A4">
        <w:t xml:space="preserve"> have PI on hand in an amount that is more than one-twelfth of the </w:t>
      </w:r>
      <w:r w:rsidR="00D336A4">
        <w:t>most recent grant amount.  For F</w:t>
      </w:r>
      <w:r w:rsidRPr="00D336A4">
        <w:t>Y 201</w:t>
      </w:r>
      <w:r w:rsidR="00D336A4">
        <w:t>6</w:t>
      </w:r>
      <w:r w:rsidR="00F40728" w:rsidRPr="00D336A4">
        <w:t>-</w:t>
      </w:r>
      <w:r w:rsidRPr="00D336A4">
        <w:t>201</w:t>
      </w:r>
      <w:r w:rsidR="00D336A4">
        <w:t>7</w:t>
      </w:r>
      <w:r w:rsidR="0076588A" w:rsidRPr="00D336A4">
        <w:t>,</w:t>
      </w:r>
      <w:r w:rsidRPr="00D336A4">
        <w:t xml:space="preserve"> one-twelfth of the grant amount would require that the </w:t>
      </w:r>
      <w:r w:rsidR="0076588A" w:rsidRPr="00D336A4">
        <w:t>grantee or its sub-recipients</w:t>
      </w:r>
      <w:r w:rsidRPr="00D336A4">
        <w:t xml:space="preserve"> may not have retained more than </w:t>
      </w:r>
      <w:r w:rsidR="002021C9">
        <w:t>$42,496</w:t>
      </w:r>
      <w:r w:rsidRPr="00D336A4">
        <w:t xml:space="preserve">.  </w:t>
      </w:r>
      <w:r w:rsidR="00F40728" w:rsidRPr="00D336A4">
        <w:t xml:space="preserve">The Revolving Loan </w:t>
      </w:r>
      <w:r w:rsidR="001F485E" w:rsidRPr="00D336A4">
        <w:t>classification</w:t>
      </w:r>
      <w:r w:rsidR="00F40728" w:rsidRPr="00D336A4">
        <w:t xml:space="preserve"> of program income generated is exempt from this requirement.</w:t>
      </w:r>
      <w:r w:rsidR="0076588A" w:rsidRPr="00D336A4">
        <w:t xml:space="preserve">  This is beneficial because</w:t>
      </w:r>
      <w:r w:rsidR="008916F1" w:rsidRPr="00D336A4">
        <w:t xml:space="preserve"> the City has to record, or receipt, program income on a quarterly basis, which then must be drawn.  It further</w:t>
      </w:r>
      <w:r w:rsidR="0076588A" w:rsidRPr="00D336A4">
        <w:t xml:space="preserve"> enables the sub-recipient to retain and manage their own program income, keep it on hand</w:t>
      </w:r>
      <w:r w:rsidR="000F4DB1" w:rsidRPr="00D336A4">
        <w:t>,</w:t>
      </w:r>
      <w:r w:rsidR="0076588A" w:rsidRPr="00D336A4">
        <w:t xml:space="preserve"> and deploy based on the demands of the loan pipeline.  Alternatively, and less desirably, if those funds were remitted, t</w:t>
      </w:r>
      <w:r w:rsidR="000F4DB1" w:rsidRPr="00D336A4">
        <w:t>hey would come back to the city, whereby the funds would be sent on</w:t>
      </w:r>
      <w:r w:rsidR="0076588A" w:rsidRPr="00D336A4">
        <w:t xml:space="preserve"> to the federal treasury to be placed in the City’s CDBG line of credit, only to be re-allocated back to the same projects</w:t>
      </w:r>
      <w:r w:rsidR="008916F1" w:rsidRPr="00D336A4">
        <w:t>, a costly and time-consuming administrative procedure</w:t>
      </w:r>
      <w:r w:rsidR="0076588A" w:rsidRPr="00D336A4">
        <w:t>.</w:t>
      </w:r>
    </w:p>
    <w:p w:rsidR="00A97172" w:rsidRPr="0029379A" w:rsidRDefault="00A97172" w:rsidP="00962CDA">
      <w:pPr>
        <w:widowControl w:val="0"/>
        <w:rPr>
          <w:sz w:val="24"/>
        </w:rPr>
      </w:pPr>
    </w:p>
    <w:p w:rsidR="00D336A4" w:rsidRDefault="00D336A4">
      <w:pPr>
        <w:spacing w:after="0" w:line="240" w:lineRule="auto"/>
        <w:rPr>
          <w:b/>
          <w:sz w:val="28"/>
          <w:szCs w:val="28"/>
        </w:rPr>
        <w:sectPr w:rsidR="00D336A4" w:rsidSect="0076588A">
          <w:pgSz w:w="12240" w:h="15840" w:code="1"/>
          <w:pgMar w:top="1530" w:right="1440" w:bottom="1440" w:left="1440" w:header="720" w:footer="720" w:gutter="0"/>
          <w:cols w:space="720"/>
          <w:docGrid w:linePitch="360"/>
        </w:sectPr>
      </w:pPr>
    </w:p>
    <w:p w:rsidR="00667C28" w:rsidRDefault="007137DF">
      <w:pPr>
        <w:rPr>
          <w:b/>
          <w:sz w:val="28"/>
          <w:szCs w:val="28"/>
        </w:rPr>
      </w:pPr>
      <w:r>
        <w:rPr>
          <w:b/>
          <w:sz w:val="28"/>
          <w:szCs w:val="28"/>
        </w:rPr>
        <w:lastRenderedPageBreak/>
        <w:t>CR-10 - Racial and Ethnic composition of families assisted</w:t>
      </w:r>
    </w:p>
    <w:p w:rsidR="00667C28" w:rsidRDefault="007137DF">
      <w:pPr>
        <w:keepNext/>
        <w:widowControl w:val="0"/>
        <w:rPr>
          <w:b/>
          <w:sz w:val="24"/>
          <w:szCs w:val="24"/>
        </w:rPr>
      </w:pPr>
      <w:r>
        <w:rPr>
          <w:b/>
          <w:sz w:val="24"/>
          <w:szCs w:val="24"/>
        </w:rPr>
        <w:t xml:space="preserve">Describe the families assisted (including the racial and ethnic status of families assisted). 91.520(a) </w:t>
      </w:r>
    </w:p>
    <w:tbl>
      <w:tblPr>
        <w:tblW w:w="3332"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824"/>
        <w:gridCol w:w="1567"/>
      </w:tblGrid>
      <w:tr w:rsidR="00667C28" w:rsidTr="001D1214">
        <w:trPr>
          <w:cantSplit/>
        </w:trPr>
        <w:tc>
          <w:tcPr>
            <w:tcW w:w="3774" w:type="pct"/>
          </w:tcPr>
          <w:p w:rsidR="00667C28" w:rsidRDefault="00667C28">
            <w:pPr>
              <w:keepNext/>
              <w:widowControl w:val="0"/>
              <w:spacing w:after="0" w:line="240" w:lineRule="auto"/>
            </w:pPr>
          </w:p>
        </w:tc>
        <w:tc>
          <w:tcPr>
            <w:tcW w:w="1226" w:type="pct"/>
          </w:tcPr>
          <w:p w:rsidR="00667C28" w:rsidRDefault="007137DF">
            <w:pPr>
              <w:keepNext/>
              <w:widowControl w:val="0"/>
              <w:spacing w:after="0" w:line="240" w:lineRule="auto"/>
              <w:jc w:val="center"/>
              <w:rPr>
                <w:b/>
              </w:rPr>
            </w:pPr>
            <w:r>
              <w:rPr>
                <w:b/>
              </w:rPr>
              <w:t>CDBG</w:t>
            </w:r>
          </w:p>
        </w:tc>
      </w:tr>
    </w:tbl>
    <w:p w:rsidR="00667C28" w:rsidRDefault="00667C28">
      <w:pPr>
        <w:keepNext/>
        <w:widowControl w:val="0"/>
        <w:spacing w:after="0" w:line="240" w:lineRule="auto"/>
        <w:rPr>
          <w:b/>
          <w:vanish/>
          <w:sz w:val="24"/>
          <w:szCs w:val="24"/>
        </w:rPr>
      </w:pPr>
    </w:p>
    <w:tbl>
      <w:tblPr>
        <w:tblW w:w="3343"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823"/>
        <w:gridCol w:w="1589"/>
      </w:tblGrid>
      <w:tr w:rsidR="002021C9" w:rsidTr="00F1744E">
        <w:trPr>
          <w:cantSplit/>
          <w:hidden/>
        </w:trPr>
        <w:tc>
          <w:tcPr>
            <w:tcW w:w="3761" w:type="pct"/>
            <w:shd w:val="clear" w:color="auto" w:fill="FFFF00"/>
          </w:tcPr>
          <w:p w:rsidR="002021C9" w:rsidRPr="00F1744E" w:rsidRDefault="00F1744E" w:rsidP="00F1744E">
            <w:pPr>
              <w:keepNext/>
              <w:widowControl w:val="0"/>
              <w:spacing w:after="0" w:line="240" w:lineRule="auto"/>
              <w:rPr>
                <w:b/>
                <w:vanish/>
              </w:rPr>
            </w:pPr>
            <w:r w:rsidRPr="00F1744E">
              <w:rPr>
                <w:b/>
                <w:vanish/>
              </w:rPr>
              <w:t>Race/Ethnicity</w:t>
            </w:r>
          </w:p>
        </w:tc>
        <w:tc>
          <w:tcPr>
            <w:tcW w:w="1239" w:type="pct"/>
            <w:shd w:val="clear" w:color="auto" w:fill="FFFF00"/>
          </w:tcPr>
          <w:p w:rsidR="002021C9" w:rsidRDefault="002021C9">
            <w:pPr>
              <w:keepNext/>
              <w:widowControl w:val="0"/>
              <w:spacing w:after="0" w:line="240" w:lineRule="auto"/>
              <w:jc w:val="center"/>
              <w:rPr>
                <w:b/>
                <w:vanish/>
              </w:rPr>
            </w:pPr>
          </w:p>
        </w:tc>
      </w:tr>
      <w:tr w:rsidR="00667C28" w:rsidTr="00F1744E">
        <w:trPr>
          <w:cantSplit/>
        </w:trPr>
        <w:tc>
          <w:tcPr>
            <w:tcW w:w="3761" w:type="pct"/>
            <w:shd w:val="clear" w:color="auto" w:fill="auto"/>
            <w:vAlign w:val="bottom"/>
          </w:tcPr>
          <w:p w:rsidR="00667C28" w:rsidRPr="00F1744E" w:rsidRDefault="007137DF">
            <w:pPr>
              <w:spacing w:beforeAutospacing="1" w:afterAutospacing="1"/>
            </w:pPr>
            <w:r w:rsidRPr="00F1744E">
              <w:rPr>
                <w:color w:val="000000"/>
              </w:rPr>
              <w:t>White</w:t>
            </w:r>
          </w:p>
        </w:tc>
        <w:tc>
          <w:tcPr>
            <w:tcW w:w="1239" w:type="pct"/>
            <w:shd w:val="clear" w:color="auto" w:fill="auto"/>
            <w:vAlign w:val="bottom"/>
          </w:tcPr>
          <w:p w:rsidR="00667C28" w:rsidRDefault="002021C9" w:rsidP="002021C9">
            <w:pPr>
              <w:spacing w:beforeAutospacing="1" w:afterAutospacing="1"/>
              <w:jc w:val="center"/>
            </w:pPr>
            <w:r w:rsidRPr="00F1744E">
              <w:t>1802</w:t>
            </w:r>
          </w:p>
        </w:tc>
      </w:tr>
      <w:tr w:rsidR="00667C28" w:rsidTr="002021C9">
        <w:trPr>
          <w:cantSplit/>
        </w:trPr>
        <w:tc>
          <w:tcPr>
            <w:tcW w:w="3761" w:type="pct"/>
            <w:vAlign w:val="bottom"/>
          </w:tcPr>
          <w:p w:rsidR="00667C28" w:rsidRDefault="007137DF">
            <w:pPr>
              <w:spacing w:beforeAutospacing="1" w:afterAutospacing="1"/>
            </w:pPr>
            <w:r>
              <w:rPr>
                <w:color w:val="000000"/>
              </w:rPr>
              <w:t>Black or African American</w:t>
            </w:r>
          </w:p>
        </w:tc>
        <w:tc>
          <w:tcPr>
            <w:tcW w:w="1239" w:type="pct"/>
            <w:vAlign w:val="bottom"/>
          </w:tcPr>
          <w:p w:rsidR="00667C28" w:rsidRPr="002021C9" w:rsidRDefault="002021C9" w:rsidP="002021C9">
            <w:pPr>
              <w:spacing w:beforeAutospacing="1" w:afterAutospacing="1"/>
              <w:jc w:val="center"/>
            </w:pPr>
            <w:r w:rsidRPr="002021C9">
              <w:t>79</w:t>
            </w:r>
          </w:p>
        </w:tc>
      </w:tr>
      <w:tr w:rsidR="00667C28" w:rsidTr="002021C9">
        <w:trPr>
          <w:cantSplit/>
        </w:trPr>
        <w:tc>
          <w:tcPr>
            <w:tcW w:w="3761" w:type="pct"/>
            <w:vAlign w:val="bottom"/>
          </w:tcPr>
          <w:p w:rsidR="00667C28" w:rsidRDefault="007137DF">
            <w:pPr>
              <w:spacing w:beforeAutospacing="1" w:afterAutospacing="1"/>
            </w:pPr>
            <w:r>
              <w:rPr>
                <w:color w:val="000000"/>
              </w:rPr>
              <w:t>Asian</w:t>
            </w:r>
          </w:p>
        </w:tc>
        <w:tc>
          <w:tcPr>
            <w:tcW w:w="1239" w:type="pct"/>
            <w:vAlign w:val="bottom"/>
          </w:tcPr>
          <w:p w:rsidR="00667C28" w:rsidRPr="002021C9" w:rsidRDefault="002021C9" w:rsidP="002021C9">
            <w:pPr>
              <w:spacing w:beforeAutospacing="1" w:afterAutospacing="1"/>
              <w:jc w:val="center"/>
            </w:pPr>
            <w:r w:rsidRPr="002021C9">
              <w:t>5</w:t>
            </w:r>
          </w:p>
        </w:tc>
      </w:tr>
      <w:tr w:rsidR="00667C28" w:rsidTr="002021C9">
        <w:trPr>
          <w:cantSplit/>
        </w:trPr>
        <w:tc>
          <w:tcPr>
            <w:tcW w:w="3761" w:type="pct"/>
            <w:vAlign w:val="bottom"/>
          </w:tcPr>
          <w:p w:rsidR="00667C28" w:rsidRDefault="007137DF">
            <w:pPr>
              <w:spacing w:beforeAutospacing="1" w:afterAutospacing="1"/>
            </w:pPr>
            <w:r>
              <w:rPr>
                <w:color w:val="000000"/>
              </w:rPr>
              <w:t>American Indian or American Native</w:t>
            </w:r>
          </w:p>
        </w:tc>
        <w:tc>
          <w:tcPr>
            <w:tcW w:w="1239" w:type="pct"/>
            <w:vAlign w:val="bottom"/>
          </w:tcPr>
          <w:p w:rsidR="00667C28" w:rsidRPr="002021C9" w:rsidRDefault="002021C9" w:rsidP="002021C9">
            <w:pPr>
              <w:spacing w:beforeAutospacing="1" w:afterAutospacing="1"/>
              <w:jc w:val="center"/>
            </w:pPr>
            <w:r w:rsidRPr="002021C9">
              <w:t>123</w:t>
            </w:r>
          </w:p>
        </w:tc>
      </w:tr>
      <w:tr w:rsidR="00667C28" w:rsidTr="002021C9">
        <w:trPr>
          <w:cantSplit/>
        </w:trPr>
        <w:tc>
          <w:tcPr>
            <w:tcW w:w="3761" w:type="pct"/>
            <w:vAlign w:val="bottom"/>
          </w:tcPr>
          <w:p w:rsidR="00667C28" w:rsidRDefault="007137DF">
            <w:pPr>
              <w:spacing w:beforeAutospacing="1" w:afterAutospacing="1"/>
            </w:pPr>
            <w:r>
              <w:rPr>
                <w:color w:val="000000"/>
              </w:rPr>
              <w:t>Native Hawaiian or Other Pacific Islander</w:t>
            </w:r>
          </w:p>
        </w:tc>
        <w:tc>
          <w:tcPr>
            <w:tcW w:w="1239" w:type="pct"/>
            <w:vAlign w:val="bottom"/>
          </w:tcPr>
          <w:p w:rsidR="00667C28" w:rsidRPr="002021C9" w:rsidRDefault="002021C9" w:rsidP="002021C9">
            <w:pPr>
              <w:spacing w:beforeAutospacing="1" w:afterAutospacing="1"/>
              <w:jc w:val="center"/>
            </w:pPr>
            <w:r w:rsidRPr="002021C9">
              <w:t>2</w:t>
            </w:r>
          </w:p>
        </w:tc>
      </w:tr>
      <w:tr w:rsidR="00E8290B" w:rsidTr="002021C9">
        <w:trPr>
          <w:cantSplit/>
        </w:trPr>
        <w:tc>
          <w:tcPr>
            <w:tcW w:w="3761" w:type="pct"/>
            <w:vAlign w:val="bottom"/>
          </w:tcPr>
          <w:p w:rsidR="00E8290B" w:rsidRDefault="00E8290B">
            <w:pPr>
              <w:spacing w:beforeAutospacing="1" w:afterAutospacing="1"/>
              <w:rPr>
                <w:color w:val="000000"/>
              </w:rPr>
            </w:pPr>
            <w:r>
              <w:rPr>
                <w:color w:val="000000"/>
              </w:rPr>
              <w:t>Multi-racial</w:t>
            </w:r>
          </w:p>
        </w:tc>
        <w:tc>
          <w:tcPr>
            <w:tcW w:w="1239" w:type="pct"/>
            <w:vAlign w:val="bottom"/>
          </w:tcPr>
          <w:p w:rsidR="00E8290B" w:rsidRPr="002021C9" w:rsidRDefault="002021C9" w:rsidP="002021C9">
            <w:pPr>
              <w:spacing w:beforeAutospacing="1" w:afterAutospacing="1"/>
              <w:jc w:val="center"/>
            </w:pPr>
            <w:r w:rsidRPr="002021C9">
              <w:t>93</w:t>
            </w:r>
          </w:p>
        </w:tc>
      </w:tr>
    </w:tbl>
    <w:p w:rsidR="00667C28" w:rsidRDefault="00667C28">
      <w:pPr>
        <w:keepNext/>
        <w:widowControl w:val="0"/>
        <w:spacing w:after="0" w:line="240" w:lineRule="auto"/>
        <w:rPr>
          <w:b/>
          <w:vanish/>
          <w:sz w:val="24"/>
          <w:szCs w:val="24"/>
        </w:rPr>
      </w:pPr>
    </w:p>
    <w:tbl>
      <w:tblPr>
        <w:tblW w:w="3343"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823"/>
        <w:gridCol w:w="1589"/>
      </w:tblGrid>
      <w:tr w:rsidR="002021C9" w:rsidTr="002021C9">
        <w:trPr>
          <w:cantSplit/>
          <w:hidden/>
        </w:trPr>
        <w:tc>
          <w:tcPr>
            <w:tcW w:w="3761" w:type="pct"/>
          </w:tcPr>
          <w:p w:rsidR="002021C9" w:rsidRDefault="002021C9">
            <w:pPr>
              <w:keepNext/>
              <w:widowControl w:val="0"/>
              <w:spacing w:after="0" w:line="240" w:lineRule="auto"/>
              <w:rPr>
                <w:vanish/>
              </w:rPr>
            </w:pPr>
          </w:p>
        </w:tc>
        <w:tc>
          <w:tcPr>
            <w:tcW w:w="1239" w:type="pct"/>
          </w:tcPr>
          <w:p w:rsidR="002021C9" w:rsidRDefault="002021C9">
            <w:pPr>
              <w:keepNext/>
              <w:widowControl w:val="0"/>
              <w:spacing w:after="0" w:line="240" w:lineRule="auto"/>
              <w:jc w:val="center"/>
              <w:rPr>
                <w:b/>
                <w:vanish/>
              </w:rPr>
            </w:pPr>
          </w:p>
        </w:tc>
      </w:tr>
      <w:tr w:rsidR="002021C9" w:rsidRPr="00E8290B" w:rsidTr="002021C9">
        <w:trPr>
          <w:cantSplit/>
        </w:trPr>
        <w:tc>
          <w:tcPr>
            <w:tcW w:w="3761" w:type="pct"/>
            <w:vAlign w:val="bottom"/>
          </w:tcPr>
          <w:p w:rsidR="002021C9" w:rsidRPr="00E8290B" w:rsidRDefault="002021C9">
            <w:pPr>
              <w:spacing w:beforeAutospacing="1" w:afterAutospacing="1"/>
              <w:rPr>
                <w:b/>
              </w:rPr>
            </w:pPr>
            <w:r w:rsidRPr="00E8290B">
              <w:rPr>
                <w:b/>
                <w:color w:val="000000"/>
              </w:rPr>
              <w:t>Total</w:t>
            </w:r>
          </w:p>
        </w:tc>
        <w:tc>
          <w:tcPr>
            <w:tcW w:w="1239" w:type="pct"/>
            <w:vAlign w:val="bottom"/>
          </w:tcPr>
          <w:p w:rsidR="002021C9" w:rsidRPr="00E8290B" w:rsidRDefault="002021C9" w:rsidP="002021C9">
            <w:pPr>
              <w:spacing w:beforeAutospacing="1" w:afterAutospacing="1"/>
              <w:jc w:val="center"/>
              <w:rPr>
                <w:b/>
              </w:rPr>
            </w:pPr>
            <w:r w:rsidRPr="002021C9">
              <w:rPr>
                <w:b/>
              </w:rPr>
              <w:t>2104</w:t>
            </w:r>
          </w:p>
        </w:tc>
      </w:tr>
    </w:tbl>
    <w:p w:rsidR="00667C28" w:rsidRDefault="00667C28">
      <w:pPr>
        <w:keepNext/>
        <w:widowControl w:val="0"/>
        <w:spacing w:after="0" w:line="240" w:lineRule="auto"/>
        <w:rPr>
          <w:b/>
          <w:vanish/>
          <w:sz w:val="24"/>
          <w:szCs w:val="24"/>
        </w:rPr>
      </w:pPr>
    </w:p>
    <w:tbl>
      <w:tblPr>
        <w:tblW w:w="3343"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823"/>
        <w:gridCol w:w="1589"/>
      </w:tblGrid>
      <w:tr w:rsidR="002021C9" w:rsidTr="002021C9">
        <w:trPr>
          <w:cantSplit/>
          <w:hidden/>
        </w:trPr>
        <w:tc>
          <w:tcPr>
            <w:tcW w:w="3761" w:type="pct"/>
          </w:tcPr>
          <w:p w:rsidR="002021C9" w:rsidRDefault="002021C9">
            <w:pPr>
              <w:keepNext/>
              <w:widowControl w:val="0"/>
              <w:spacing w:after="0" w:line="240" w:lineRule="auto"/>
              <w:rPr>
                <w:vanish/>
              </w:rPr>
            </w:pPr>
          </w:p>
        </w:tc>
        <w:tc>
          <w:tcPr>
            <w:tcW w:w="1239" w:type="pct"/>
          </w:tcPr>
          <w:p w:rsidR="002021C9" w:rsidRDefault="002021C9">
            <w:pPr>
              <w:keepNext/>
              <w:widowControl w:val="0"/>
              <w:spacing w:after="0" w:line="240" w:lineRule="auto"/>
              <w:jc w:val="center"/>
              <w:rPr>
                <w:b/>
                <w:vanish/>
              </w:rPr>
            </w:pPr>
          </w:p>
        </w:tc>
      </w:tr>
      <w:tr w:rsidR="00667C28" w:rsidTr="00F1744E">
        <w:trPr>
          <w:cantSplit/>
        </w:trPr>
        <w:tc>
          <w:tcPr>
            <w:tcW w:w="3761" w:type="pct"/>
            <w:shd w:val="clear" w:color="auto" w:fill="auto"/>
            <w:vAlign w:val="bottom"/>
          </w:tcPr>
          <w:p w:rsidR="00667C28" w:rsidRDefault="007137DF">
            <w:pPr>
              <w:spacing w:beforeAutospacing="1" w:afterAutospacing="1"/>
            </w:pPr>
            <w:r>
              <w:rPr>
                <w:color w:val="000000"/>
              </w:rPr>
              <w:t>Hispanic</w:t>
            </w:r>
          </w:p>
        </w:tc>
        <w:tc>
          <w:tcPr>
            <w:tcW w:w="1239" w:type="pct"/>
            <w:shd w:val="clear" w:color="auto" w:fill="auto"/>
            <w:vAlign w:val="bottom"/>
          </w:tcPr>
          <w:p w:rsidR="00667C28" w:rsidRDefault="002021C9" w:rsidP="002021C9">
            <w:pPr>
              <w:spacing w:beforeAutospacing="1" w:afterAutospacing="1"/>
              <w:jc w:val="center"/>
            </w:pPr>
            <w:r>
              <w:t>1308</w:t>
            </w:r>
          </w:p>
        </w:tc>
      </w:tr>
      <w:tr w:rsidR="00667C28" w:rsidTr="00F1744E">
        <w:trPr>
          <w:cantSplit/>
        </w:trPr>
        <w:tc>
          <w:tcPr>
            <w:tcW w:w="3761" w:type="pct"/>
            <w:shd w:val="clear" w:color="auto" w:fill="auto"/>
            <w:vAlign w:val="bottom"/>
          </w:tcPr>
          <w:p w:rsidR="00667C28" w:rsidRDefault="007137DF">
            <w:pPr>
              <w:spacing w:beforeAutospacing="1" w:afterAutospacing="1"/>
            </w:pPr>
            <w:r>
              <w:rPr>
                <w:color w:val="000000"/>
              </w:rPr>
              <w:t>Not Hispanic</w:t>
            </w:r>
          </w:p>
        </w:tc>
        <w:tc>
          <w:tcPr>
            <w:tcW w:w="1239" w:type="pct"/>
            <w:shd w:val="clear" w:color="auto" w:fill="auto"/>
            <w:vAlign w:val="bottom"/>
          </w:tcPr>
          <w:p w:rsidR="00667C28" w:rsidRDefault="002021C9" w:rsidP="002021C9">
            <w:pPr>
              <w:spacing w:beforeAutospacing="1" w:afterAutospacing="1"/>
              <w:jc w:val="center"/>
            </w:pPr>
            <w:r>
              <w:t>707</w:t>
            </w:r>
          </w:p>
        </w:tc>
      </w:tr>
    </w:tbl>
    <w:p w:rsidR="00667C28" w:rsidRDefault="007137DF" w:rsidP="004D4D70">
      <w:pPr>
        <w:pStyle w:val="Caption"/>
        <w:rPr>
          <w:rFonts w:asciiTheme="minorHAnsi" w:hAnsiTheme="minorHAnsi"/>
        </w:rPr>
      </w:pPr>
      <w:r w:rsidRPr="004D4D70">
        <w:rPr>
          <w:rFonts w:asciiTheme="minorHAnsi" w:hAnsiTheme="minorHAnsi"/>
          <w:i/>
        </w:rPr>
        <w:t xml:space="preserve">Table </w:t>
      </w:r>
      <w:r w:rsidR="00421AFD" w:rsidRPr="004D4D70">
        <w:rPr>
          <w:rFonts w:asciiTheme="minorHAnsi" w:hAnsiTheme="minorHAnsi"/>
          <w:i/>
        </w:rPr>
        <w:t>4</w:t>
      </w:r>
      <w:r>
        <w:rPr>
          <w:rFonts w:asciiTheme="minorHAnsi" w:hAnsiTheme="minorHAnsi"/>
        </w:rPr>
        <w:t xml:space="preserve"> – Table of assistance to racial and ethnic populations by source of funds</w:t>
      </w:r>
    </w:p>
    <w:p w:rsidR="00667C28" w:rsidRDefault="00667C28">
      <w:pPr>
        <w:rPr>
          <w:b/>
          <w:sz w:val="24"/>
          <w:szCs w:val="24"/>
        </w:rPr>
      </w:pPr>
    </w:p>
    <w:p w:rsidR="00667C28" w:rsidRDefault="007137DF" w:rsidP="00A51BCA">
      <w:pPr>
        <w:widowControl w:val="0"/>
        <w:spacing w:after="0" w:line="240" w:lineRule="auto"/>
        <w:rPr>
          <w:b/>
          <w:sz w:val="24"/>
          <w:szCs w:val="24"/>
        </w:rPr>
      </w:pPr>
      <w:r>
        <w:rPr>
          <w:b/>
          <w:sz w:val="24"/>
          <w:szCs w:val="24"/>
        </w:rPr>
        <w:t>Narrative</w:t>
      </w:r>
    </w:p>
    <w:p w:rsidR="00A51BCA" w:rsidRDefault="00A51BCA" w:rsidP="00A51BCA">
      <w:pPr>
        <w:spacing w:after="0" w:line="240" w:lineRule="auto"/>
      </w:pPr>
    </w:p>
    <w:bookmarkEnd w:id="3"/>
    <w:p w:rsidR="00AA2771" w:rsidRDefault="00A51BCA" w:rsidP="00AA2771">
      <w:pPr>
        <w:widowControl w:val="0"/>
        <w:sectPr w:rsidR="00AA2771" w:rsidSect="0076588A">
          <w:pgSz w:w="12240" w:h="15840" w:code="1"/>
          <w:pgMar w:top="1530" w:right="1440" w:bottom="1440" w:left="1440" w:header="720" w:footer="720" w:gutter="0"/>
          <w:cols w:space="720"/>
          <w:docGrid w:linePitch="360"/>
        </w:sectPr>
      </w:pPr>
      <w:r w:rsidRPr="0029379A">
        <w:t>The racial and ethnic composition reported for CDBG pro</w:t>
      </w:r>
      <w:r w:rsidR="001D1214">
        <w:t>gram sub-recipients represents cumulative annual</w:t>
      </w:r>
      <w:r w:rsidRPr="0029379A">
        <w:t xml:space="preserve"> </w:t>
      </w:r>
      <w:r>
        <w:t>data collected that represents</w:t>
      </w:r>
      <w:r w:rsidR="009B110A">
        <w:t xml:space="preserve"> a total</w:t>
      </w:r>
      <w:r>
        <w:t xml:space="preserve"> </w:t>
      </w:r>
      <w:r w:rsidR="009B110A" w:rsidRPr="002021C9">
        <w:t>2,</w:t>
      </w:r>
      <w:r w:rsidR="002021C9">
        <w:t>104</w:t>
      </w:r>
      <w:r w:rsidR="009B110A">
        <w:t xml:space="preserve"> individuals</w:t>
      </w:r>
      <w:r w:rsidR="0000697E">
        <w:t xml:space="preserve"> and/or households</w:t>
      </w:r>
      <w:r>
        <w:t xml:space="preserve">.  </w:t>
      </w:r>
      <w:r w:rsidRPr="0029379A">
        <w:t>The actual families assisted apply to grantees where household counts apply, such as for DPA or home improvement</w:t>
      </w:r>
      <w:r w:rsidR="00421AFD">
        <w:t>.</w:t>
      </w:r>
      <w:r w:rsidR="009B110A">
        <w:t> </w:t>
      </w:r>
      <w:r w:rsidRPr="0029379A">
        <w:t>As a requirement of the Professional Services Agreement with the City, each sub-recipient reports the racial, ethnic, and demographic data to the City on a Quarterly basis.</w:t>
      </w:r>
      <w:r w:rsidR="00AA2771">
        <w:t xml:space="preserve"> </w:t>
      </w:r>
    </w:p>
    <w:p w:rsidR="00667C28" w:rsidRDefault="007137DF">
      <w:pPr>
        <w:pStyle w:val="Heading2"/>
        <w:rPr>
          <w:rFonts w:ascii="Calibri" w:hAnsi="Calibri"/>
          <w:i w:val="0"/>
        </w:rPr>
      </w:pPr>
      <w:bookmarkStart w:id="4" w:name="_Toc426364865"/>
      <w:r>
        <w:rPr>
          <w:rFonts w:ascii="Calibri" w:hAnsi="Calibri"/>
          <w:i w:val="0"/>
        </w:rPr>
        <w:lastRenderedPageBreak/>
        <w:t>CR-15 - Resources and Investments 91.520(a)</w:t>
      </w:r>
      <w:bookmarkEnd w:id="4"/>
      <w:r>
        <w:rPr>
          <w:rFonts w:ascii="Calibri" w:hAnsi="Calibri"/>
          <w:i w:val="0"/>
        </w:rPr>
        <w:t xml:space="preserve"> </w:t>
      </w:r>
    </w:p>
    <w:p w:rsidR="00667C28" w:rsidRDefault="007137DF">
      <w:pPr>
        <w:keepNext/>
        <w:widowControl w:val="0"/>
        <w:spacing w:after="0" w:line="240" w:lineRule="auto"/>
        <w:rPr>
          <w:b/>
          <w:sz w:val="24"/>
          <w:szCs w:val="24"/>
        </w:rPr>
      </w:pPr>
      <w:r>
        <w:rPr>
          <w:b/>
          <w:sz w:val="24"/>
          <w:szCs w:val="24"/>
        </w:rPr>
        <w:t xml:space="preserve">Identify the resources made available </w:t>
      </w:r>
      <w:r w:rsidR="00AA2771">
        <w:rPr>
          <w:b/>
          <w:sz w:val="24"/>
          <w:szCs w:val="24"/>
        </w:rPr>
        <w:t>‘</w:t>
      </w:r>
    </w:p>
    <w:p w:rsidR="00AA2771" w:rsidRDefault="00AA2771">
      <w:pPr>
        <w:keepNext/>
        <w:widowControl w:val="0"/>
        <w:spacing w:after="0" w:line="240" w:lineRule="auto"/>
        <w:rPr>
          <w:b/>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3"/>
        <w:gridCol w:w="5050"/>
        <w:gridCol w:w="1588"/>
        <w:gridCol w:w="1605"/>
      </w:tblGrid>
      <w:tr w:rsidR="008302A1" w:rsidTr="00F1744E">
        <w:trPr>
          <w:cantSplit/>
        </w:trPr>
        <w:tc>
          <w:tcPr>
            <w:tcW w:w="1637" w:type="dxa"/>
          </w:tcPr>
          <w:p w:rsidR="00667C28" w:rsidRDefault="00345A27" w:rsidP="00DE541A">
            <w:pPr>
              <w:keepNext/>
              <w:widowControl w:val="0"/>
              <w:spacing w:after="0" w:line="240" w:lineRule="auto"/>
              <w:jc w:val="center"/>
              <w:rPr>
                <w:rFonts w:cs="Arial"/>
                <w:b/>
              </w:rPr>
            </w:pPr>
            <w:r>
              <w:rPr>
                <w:rFonts w:cs="Arial"/>
                <w:b/>
              </w:rPr>
              <w:t>201</w:t>
            </w:r>
            <w:r w:rsidR="00DE541A">
              <w:rPr>
                <w:rFonts w:cs="Arial"/>
                <w:b/>
              </w:rPr>
              <w:t>6</w:t>
            </w:r>
            <w:r>
              <w:rPr>
                <w:rFonts w:cs="Arial"/>
                <w:b/>
              </w:rPr>
              <w:t xml:space="preserve"> </w:t>
            </w:r>
            <w:r w:rsidR="007137DF">
              <w:rPr>
                <w:rFonts w:cs="Arial"/>
                <w:b/>
              </w:rPr>
              <w:t>Source of Funds</w:t>
            </w:r>
          </w:p>
        </w:tc>
        <w:tc>
          <w:tcPr>
            <w:tcW w:w="4419" w:type="dxa"/>
          </w:tcPr>
          <w:p w:rsidR="00667C28" w:rsidRDefault="007137DF">
            <w:pPr>
              <w:keepNext/>
              <w:widowControl w:val="0"/>
              <w:spacing w:after="0" w:line="240" w:lineRule="auto"/>
              <w:jc w:val="center"/>
              <w:rPr>
                <w:rFonts w:cs="Arial"/>
                <w:b/>
              </w:rPr>
            </w:pPr>
            <w:r>
              <w:rPr>
                <w:rFonts w:cs="Arial"/>
                <w:b/>
              </w:rPr>
              <w:t>Source</w:t>
            </w:r>
          </w:p>
        </w:tc>
        <w:tc>
          <w:tcPr>
            <w:tcW w:w="1746" w:type="dxa"/>
          </w:tcPr>
          <w:p w:rsidR="00667C28" w:rsidRDefault="00664A61">
            <w:pPr>
              <w:keepNext/>
              <w:spacing w:after="0" w:line="240" w:lineRule="auto"/>
              <w:jc w:val="center"/>
              <w:rPr>
                <w:rFonts w:cs="Arial"/>
                <w:b/>
              </w:rPr>
            </w:pPr>
            <w:r>
              <w:rPr>
                <w:rFonts w:cs="Arial"/>
                <w:b/>
              </w:rPr>
              <w:t>Expected Amount Available</w:t>
            </w:r>
          </w:p>
        </w:tc>
        <w:tc>
          <w:tcPr>
            <w:tcW w:w="1774" w:type="dxa"/>
          </w:tcPr>
          <w:p w:rsidR="00667C28" w:rsidRDefault="007137DF">
            <w:pPr>
              <w:keepNext/>
              <w:widowControl w:val="0"/>
              <w:spacing w:after="0" w:line="240" w:lineRule="auto"/>
              <w:jc w:val="center"/>
              <w:rPr>
                <w:rFonts w:cs="Arial"/>
                <w:b/>
              </w:rPr>
            </w:pPr>
            <w:r>
              <w:rPr>
                <w:rFonts w:cs="Arial"/>
                <w:b/>
              </w:rPr>
              <w:t>Amount Expended During Program Year</w:t>
            </w:r>
          </w:p>
        </w:tc>
      </w:tr>
      <w:tr w:rsidR="00F1744E">
        <w:trPr>
          <w:cantSplit/>
        </w:trPr>
        <w:tc>
          <w:tcPr>
            <w:tcW w:w="0" w:type="auto"/>
            <w:vAlign w:val="bottom"/>
          </w:tcPr>
          <w:p w:rsidR="00F1744E" w:rsidRDefault="00F1744E" w:rsidP="00F1744E">
            <w:pPr>
              <w:spacing w:beforeAutospacing="1" w:after="0"/>
            </w:pPr>
            <w:r>
              <w:rPr>
                <w:color w:val="000000"/>
              </w:rPr>
              <w:t>CDBG</w:t>
            </w:r>
          </w:p>
        </w:tc>
        <w:tc>
          <w:tcPr>
            <w:tcW w:w="0" w:type="auto"/>
            <w:vAlign w:val="bottom"/>
          </w:tcPr>
          <w:p w:rsidR="00F1744E" w:rsidRDefault="00F1744E" w:rsidP="00F1744E">
            <w:pPr>
              <w:spacing w:beforeAutospacing="1" w:after="0"/>
            </w:pPr>
            <w:r>
              <w:rPr>
                <w:color w:val="000000"/>
              </w:rPr>
              <w:t>HUD</w:t>
            </w:r>
          </w:p>
        </w:tc>
        <w:tc>
          <w:tcPr>
            <w:tcW w:w="0" w:type="auto"/>
            <w:vAlign w:val="bottom"/>
          </w:tcPr>
          <w:p w:rsidR="00F1744E" w:rsidRDefault="00F1744E" w:rsidP="00F1744E">
            <w:pPr>
              <w:spacing w:after="0"/>
              <w:jc w:val="right"/>
              <w:rPr>
                <w:color w:val="000000"/>
              </w:rPr>
            </w:pPr>
            <w:r>
              <w:rPr>
                <w:color w:val="000000"/>
              </w:rPr>
              <w:t xml:space="preserve">$796,804.70 </w:t>
            </w:r>
          </w:p>
        </w:tc>
        <w:tc>
          <w:tcPr>
            <w:tcW w:w="0" w:type="auto"/>
            <w:vAlign w:val="bottom"/>
          </w:tcPr>
          <w:p w:rsidR="00F1744E" w:rsidRDefault="00F1744E" w:rsidP="00F1744E">
            <w:pPr>
              <w:spacing w:after="0"/>
              <w:jc w:val="right"/>
              <w:rPr>
                <w:color w:val="000000"/>
              </w:rPr>
            </w:pPr>
            <w:r>
              <w:rPr>
                <w:color w:val="000000"/>
              </w:rPr>
              <w:t xml:space="preserve">$669,823.95 </w:t>
            </w:r>
          </w:p>
        </w:tc>
      </w:tr>
      <w:tr w:rsidR="008302A1">
        <w:trPr>
          <w:cantSplit/>
        </w:trPr>
        <w:tc>
          <w:tcPr>
            <w:tcW w:w="0" w:type="auto"/>
            <w:vAlign w:val="bottom"/>
          </w:tcPr>
          <w:p w:rsidR="00667C28" w:rsidRDefault="007137DF">
            <w:pPr>
              <w:spacing w:beforeAutospacing="1" w:afterAutospacing="1"/>
            </w:pPr>
            <w:r>
              <w:rPr>
                <w:color w:val="000000"/>
              </w:rPr>
              <w:t>Other</w:t>
            </w:r>
          </w:p>
        </w:tc>
        <w:tc>
          <w:tcPr>
            <w:tcW w:w="0" w:type="auto"/>
            <w:vAlign w:val="bottom"/>
          </w:tcPr>
          <w:p w:rsidR="00667C28" w:rsidRDefault="007137DF">
            <w:pPr>
              <w:spacing w:beforeAutospacing="1" w:afterAutospacing="1"/>
            </w:pPr>
            <w:r>
              <w:rPr>
                <w:color w:val="000000"/>
              </w:rPr>
              <w:t>Affordable Housing Trust Fund</w:t>
            </w:r>
            <w:r w:rsidR="00345A27">
              <w:rPr>
                <w:color w:val="000000"/>
              </w:rPr>
              <w:t xml:space="preserve"> (AHTF)</w:t>
            </w:r>
          </w:p>
        </w:tc>
        <w:tc>
          <w:tcPr>
            <w:tcW w:w="0" w:type="auto"/>
            <w:vAlign w:val="bottom"/>
          </w:tcPr>
          <w:p w:rsidR="00667C28" w:rsidRPr="00F1744E" w:rsidRDefault="00DE541A" w:rsidP="00962BCB">
            <w:pPr>
              <w:spacing w:beforeAutospacing="1" w:afterAutospacing="1"/>
              <w:jc w:val="right"/>
            </w:pPr>
            <w:r w:rsidRPr="00F1744E">
              <w:rPr>
                <w:color w:val="000000"/>
              </w:rPr>
              <w:t>$0</w:t>
            </w:r>
          </w:p>
        </w:tc>
        <w:tc>
          <w:tcPr>
            <w:tcW w:w="0" w:type="auto"/>
            <w:vAlign w:val="bottom"/>
          </w:tcPr>
          <w:p w:rsidR="00667C28" w:rsidRPr="00F1744E" w:rsidRDefault="00DE541A" w:rsidP="00486E7B">
            <w:pPr>
              <w:spacing w:beforeAutospacing="1" w:afterAutospacing="1"/>
              <w:jc w:val="right"/>
            </w:pPr>
            <w:r w:rsidRPr="00F1744E">
              <w:rPr>
                <w:color w:val="000000"/>
              </w:rPr>
              <w:t>$0</w:t>
            </w:r>
            <w:r w:rsidR="007137DF" w:rsidRPr="00F1744E">
              <w:rPr>
                <w:color w:val="000000"/>
              </w:rPr>
              <w:t xml:space="preserve"> </w:t>
            </w:r>
          </w:p>
        </w:tc>
      </w:tr>
      <w:tr w:rsidR="008302A1">
        <w:trPr>
          <w:cantSplit/>
        </w:trPr>
        <w:tc>
          <w:tcPr>
            <w:tcW w:w="0" w:type="auto"/>
            <w:vAlign w:val="bottom"/>
          </w:tcPr>
          <w:p w:rsidR="00345A27" w:rsidRDefault="00345A27">
            <w:pPr>
              <w:spacing w:beforeAutospacing="1" w:afterAutospacing="1"/>
              <w:rPr>
                <w:color w:val="000000"/>
              </w:rPr>
            </w:pPr>
            <w:r>
              <w:rPr>
                <w:color w:val="000000"/>
              </w:rPr>
              <w:t>Other</w:t>
            </w:r>
          </w:p>
        </w:tc>
        <w:tc>
          <w:tcPr>
            <w:tcW w:w="0" w:type="auto"/>
            <w:vAlign w:val="bottom"/>
          </w:tcPr>
          <w:p w:rsidR="00345A27" w:rsidRDefault="00345A27">
            <w:pPr>
              <w:spacing w:beforeAutospacing="1" w:afterAutospacing="1"/>
              <w:rPr>
                <w:color w:val="000000"/>
              </w:rPr>
            </w:pPr>
            <w:r>
              <w:rPr>
                <w:color w:val="000000"/>
              </w:rPr>
              <w:t>City’s General Fund: Youth and Family Services Division, SF Community Services</w:t>
            </w:r>
          </w:p>
        </w:tc>
        <w:tc>
          <w:tcPr>
            <w:tcW w:w="0" w:type="auto"/>
            <w:vAlign w:val="bottom"/>
          </w:tcPr>
          <w:p w:rsidR="00345A27" w:rsidRPr="00F1744E" w:rsidRDefault="00EF5E58" w:rsidP="00E51EE4">
            <w:pPr>
              <w:spacing w:beforeAutospacing="1" w:afterAutospacing="1"/>
              <w:jc w:val="right"/>
              <w:rPr>
                <w:color w:val="000000"/>
              </w:rPr>
            </w:pPr>
            <w:r w:rsidRPr="00F1744E">
              <w:rPr>
                <w:color w:val="000000"/>
              </w:rPr>
              <w:t>$800,000</w:t>
            </w:r>
          </w:p>
        </w:tc>
        <w:tc>
          <w:tcPr>
            <w:tcW w:w="0" w:type="auto"/>
            <w:vAlign w:val="bottom"/>
          </w:tcPr>
          <w:p w:rsidR="00345A27" w:rsidRPr="00F1744E" w:rsidRDefault="00345A27" w:rsidP="00252BE0">
            <w:pPr>
              <w:spacing w:beforeAutospacing="1" w:afterAutospacing="1"/>
              <w:jc w:val="right"/>
              <w:rPr>
                <w:color w:val="000000"/>
              </w:rPr>
            </w:pPr>
            <w:r w:rsidRPr="00F1744E">
              <w:rPr>
                <w:color w:val="000000"/>
              </w:rPr>
              <w:t>$</w:t>
            </w:r>
            <w:r w:rsidR="00F35D7F" w:rsidRPr="00F1744E">
              <w:rPr>
                <w:color w:val="000000"/>
              </w:rPr>
              <w:t>7</w:t>
            </w:r>
            <w:r w:rsidR="00E51EE4" w:rsidRPr="00F1744E">
              <w:rPr>
                <w:color w:val="000000"/>
              </w:rPr>
              <w:t>12</w:t>
            </w:r>
            <w:r w:rsidR="00F35D7F" w:rsidRPr="00F1744E">
              <w:rPr>
                <w:color w:val="000000"/>
              </w:rPr>
              <w:t>,000</w:t>
            </w:r>
          </w:p>
        </w:tc>
      </w:tr>
      <w:tr w:rsidR="008302A1" w:rsidTr="00DE541A">
        <w:trPr>
          <w:cantSplit/>
        </w:trPr>
        <w:tc>
          <w:tcPr>
            <w:tcW w:w="0" w:type="auto"/>
            <w:vAlign w:val="bottom"/>
          </w:tcPr>
          <w:p w:rsidR="008302A1" w:rsidRDefault="008302A1">
            <w:pPr>
              <w:spacing w:beforeAutospacing="1" w:afterAutospacing="1"/>
              <w:rPr>
                <w:color w:val="000000"/>
              </w:rPr>
            </w:pPr>
            <w:r>
              <w:rPr>
                <w:color w:val="000000"/>
              </w:rPr>
              <w:t>Other</w:t>
            </w:r>
          </w:p>
        </w:tc>
        <w:tc>
          <w:tcPr>
            <w:tcW w:w="0" w:type="auto"/>
            <w:vAlign w:val="bottom"/>
          </w:tcPr>
          <w:p w:rsidR="008302A1" w:rsidRDefault="008302A1" w:rsidP="00DE541A">
            <w:pPr>
              <w:spacing w:beforeAutospacing="1" w:afterAutospacing="1"/>
              <w:rPr>
                <w:color w:val="000000"/>
              </w:rPr>
            </w:pPr>
            <w:r>
              <w:rPr>
                <w:color w:val="000000"/>
              </w:rPr>
              <w:t>Shelter+Care</w:t>
            </w:r>
          </w:p>
        </w:tc>
        <w:tc>
          <w:tcPr>
            <w:tcW w:w="0" w:type="auto"/>
            <w:vAlign w:val="bottom"/>
          </w:tcPr>
          <w:p w:rsidR="008302A1" w:rsidRPr="00AA2771" w:rsidRDefault="00DE541A" w:rsidP="007924A1">
            <w:pPr>
              <w:spacing w:beforeAutospacing="1" w:afterAutospacing="1"/>
              <w:jc w:val="right"/>
              <w:rPr>
                <w:color w:val="000000"/>
                <w:highlight w:val="yellow"/>
              </w:rPr>
            </w:pPr>
            <w:r w:rsidRPr="00DE541A">
              <w:rPr>
                <w:color w:val="000000"/>
              </w:rPr>
              <w:t>$189,000</w:t>
            </w:r>
          </w:p>
        </w:tc>
        <w:tc>
          <w:tcPr>
            <w:tcW w:w="0" w:type="auto"/>
            <w:shd w:val="clear" w:color="auto" w:fill="auto"/>
            <w:vAlign w:val="bottom"/>
          </w:tcPr>
          <w:p w:rsidR="008302A1" w:rsidRPr="00AA2771" w:rsidRDefault="00DE541A" w:rsidP="006F7AD9">
            <w:pPr>
              <w:spacing w:beforeAutospacing="1" w:afterAutospacing="1"/>
              <w:jc w:val="right"/>
              <w:rPr>
                <w:color w:val="000000"/>
                <w:highlight w:val="yellow"/>
              </w:rPr>
            </w:pPr>
            <w:r w:rsidRPr="00DE541A">
              <w:rPr>
                <w:color w:val="000000"/>
              </w:rPr>
              <w:t>$128,798</w:t>
            </w:r>
          </w:p>
        </w:tc>
      </w:tr>
      <w:tr w:rsidR="008C18E3">
        <w:trPr>
          <w:cantSplit/>
        </w:trPr>
        <w:tc>
          <w:tcPr>
            <w:tcW w:w="0" w:type="auto"/>
            <w:vAlign w:val="bottom"/>
          </w:tcPr>
          <w:p w:rsidR="008C18E3" w:rsidRDefault="008C18E3">
            <w:pPr>
              <w:spacing w:beforeAutospacing="1" w:afterAutospacing="1"/>
              <w:rPr>
                <w:color w:val="000000"/>
              </w:rPr>
            </w:pPr>
            <w:r>
              <w:rPr>
                <w:color w:val="000000"/>
              </w:rPr>
              <w:t>Other</w:t>
            </w:r>
          </w:p>
        </w:tc>
        <w:tc>
          <w:tcPr>
            <w:tcW w:w="0" w:type="auto"/>
            <w:vAlign w:val="bottom"/>
          </w:tcPr>
          <w:p w:rsidR="008C18E3" w:rsidRDefault="008C18E3">
            <w:pPr>
              <w:spacing w:beforeAutospacing="1" w:afterAutospacing="1"/>
              <w:rPr>
                <w:color w:val="000000"/>
              </w:rPr>
            </w:pPr>
            <w:r>
              <w:rPr>
                <w:color w:val="000000"/>
              </w:rPr>
              <w:t>General Fund/Office of Affordable Housing</w:t>
            </w:r>
          </w:p>
        </w:tc>
        <w:tc>
          <w:tcPr>
            <w:tcW w:w="0" w:type="auto"/>
            <w:vAlign w:val="bottom"/>
          </w:tcPr>
          <w:p w:rsidR="008C18E3" w:rsidRPr="00DE541A" w:rsidRDefault="000263E5" w:rsidP="000576D0">
            <w:pPr>
              <w:spacing w:beforeAutospacing="1" w:afterAutospacing="1"/>
              <w:jc w:val="right"/>
              <w:rPr>
                <w:color w:val="000000"/>
              </w:rPr>
            </w:pPr>
            <w:r w:rsidRPr="00DE541A">
              <w:rPr>
                <w:color w:val="000000"/>
              </w:rPr>
              <w:t>$</w:t>
            </w:r>
            <w:r w:rsidR="000576D0" w:rsidRPr="00DE541A">
              <w:rPr>
                <w:color w:val="000000"/>
              </w:rPr>
              <w:t>355,000</w:t>
            </w:r>
          </w:p>
        </w:tc>
        <w:tc>
          <w:tcPr>
            <w:tcW w:w="0" w:type="auto"/>
            <w:vAlign w:val="bottom"/>
          </w:tcPr>
          <w:p w:rsidR="008C18E3" w:rsidRPr="00DE541A" w:rsidRDefault="000263E5" w:rsidP="000576D0">
            <w:pPr>
              <w:spacing w:beforeAutospacing="1" w:afterAutospacing="1"/>
              <w:jc w:val="right"/>
              <w:rPr>
                <w:color w:val="000000"/>
              </w:rPr>
            </w:pPr>
            <w:r w:rsidRPr="00DE541A">
              <w:rPr>
                <w:color w:val="000000"/>
              </w:rPr>
              <w:t>$</w:t>
            </w:r>
            <w:r w:rsidR="000576D0" w:rsidRPr="00DE541A">
              <w:rPr>
                <w:color w:val="000000"/>
              </w:rPr>
              <w:t>355,000</w:t>
            </w:r>
          </w:p>
        </w:tc>
      </w:tr>
    </w:tbl>
    <w:p w:rsidR="00667C28" w:rsidRDefault="007137DF" w:rsidP="00AA2771">
      <w:pPr>
        <w:pStyle w:val="Caption"/>
        <w:rPr>
          <w:rFonts w:asciiTheme="minorHAnsi" w:hAnsiTheme="minorHAnsi"/>
        </w:rPr>
      </w:pPr>
      <w:r w:rsidRPr="001D417F">
        <w:rPr>
          <w:rFonts w:asciiTheme="minorHAnsi" w:hAnsiTheme="minorHAnsi"/>
          <w:i/>
        </w:rPr>
        <w:t xml:space="preserve">Table </w:t>
      </w:r>
      <w:r w:rsidR="00FD6FC1" w:rsidRPr="001D417F">
        <w:rPr>
          <w:rFonts w:asciiTheme="minorHAnsi" w:hAnsiTheme="minorHAnsi"/>
          <w:i/>
        </w:rPr>
        <w:t>5</w:t>
      </w:r>
      <w:r w:rsidRPr="001D417F">
        <w:rPr>
          <w:rFonts w:asciiTheme="minorHAnsi" w:hAnsiTheme="minorHAnsi"/>
        </w:rPr>
        <w:t xml:space="preserve"> – Resources Made Available</w:t>
      </w:r>
    </w:p>
    <w:p w:rsidR="006F7AD9" w:rsidRPr="006F7AD9" w:rsidRDefault="006F7AD9" w:rsidP="006F7AD9">
      <w:pPr>
        <w:rPr>
          <w:sz w:val="18"/>
          <w:szCs w:val="18"/>
        </w:rPr>
      </w:pPr>
      <w:r>
        <w:tab/>
      </w:r>
      <w:r>
        <w:tab/>
      </w:r>
      <w:r>
        <w:tab/>
      </w:r>
      <w:r>
        <w:tab/>
      </w:r>
      <w:r>
        <w:tab/>
      </w:r>
    </w:p>
    <w:p w:rsidR="00667C28" w:rsidRDefault="007137DF" w:rsidP="00AA2771">
      <w:pPr>
        <w:spacing w:line="240" w:lineRule="auto"/>
        <w:rPr>
          <w:b/>
          <w:sz w:val="24"/>
          <w:szCs w:val="24"/>
        </w:rPr>
      </w:pPr>
      <w:r>
        <w:rPr>
          <w:b/>
          <w:sz w:val="24"/>
          <w:szCs w:val="24"/>
        </w:rPr>
        <w:t>Narrative</w:t>
      </w:r>
    </w:p>
    <w:p w:rsidR="00345A27" w:rsidRDefault="00345A27" w:rsidP="001D417F">
      <w:pPr>
        <w:rPr>
          <w:rFonts w:cs="Arial"/>
        </w:rPr>
      </w:pPr>
      <w:r>
        <w:rPr>
          <w:rFonts w:cs="Arial"/>
        </w:rPr>
        <w:t>Within the 2013-2017 Consolidated Plan cycle to date</w:t>
      </w:r>
      <w:r w:rsidR="00893D42">
        <w:rPr>
          <w:rFonts w:cs="Arial"/>
        </w:rPr>
        <w:t>,</w:t>
      </w:r>
      <w:r>
        <w:rPr>
          <w:rFonts w:cs="Arial"/>
        </w:rPr>
        <w:t xml:space="preserve"> HUD has committed </w:t>
      </w:r>
      <w:r w:rsidR="00893D42">
        <w:rPr>
          <w:rFonts w:cs="Arial"/>
        </w:rPr>
        <w:t xml:space="preserve">a total </w:t>
      </w:r>
      <w:r w:rsidR="005F7431">
        <w:rPr>
          <w:rFonts w:cs="Arial"/>
        </w:rPr>
        <w:t>of</w:t>
      </w:r>
      <w:r w:rsidRPr="00F56A5C">
        <w:rPr>
          <w:rFonts w:cs="Arial"/>
        </w:rPr>
        <w:t xml:space="preserve"> </w:t>
      </w:r>
      <w:r w:rsidR="00F1744E">
        <w:rPr>
          <w:rFonts w:cs="Arial"/>
        </w:rPr>
        <w:t>$2,084,682</w:t>
      </w:r>
      <w:r>
        <w:rPr>
          <w:rFonts w:cs="Arial"/>
        </w:rPr>
        <w:t xml:space="preserve"> in CDBG </w:t>
      </w:r>
      <w:r w:rsidR="00200D15">
        <w:rPr>
          <w:rFonts w:cs="Arial"/>
        </w:rPr>
        <w:t xml:space="preserve">EN </w:t>
      </w:r>
      <w:r>
        <w:rPr>
          <w:rFonts w:cs="Arial"/>
        </w:rPr>
        <w:t xml:space="preserve">funding </w:t>
      </w:r>
      <w:r w:rsidR="000263E5">
        <w:rPr>
          <w:rFonts w:cs="Arial"/>
        </w:rPr>
        <w:t xml:space="preserve">for </w:t>
      </w:r>
      <w:r w:rsidR="00893D42">
        <w:rPr>
          <w:rFonts w:cs="Arial"/>
        </w:rPr>
        <w:t xml:space="preserve">years </w:t>
      </w:r>
      <w:r w:rsidR="000263E5">
        <w:rPr>
          <w:rFonts w:cs="Arial"/>
        </w:rPr>
        <w:t>2014, 2015</w:t>
      </w:r>
      <w:r w:rsidR="00AA2771">
        <w:rPr>
          <w:rFonts w:cs="Arial"/>
        </w:rPr>
        <w:t>,</w:t>
      </w:r>
      <w:r w:rsidR="000263E5">
        <w:rPr>
          <w:rFonts w:cs="Arial"/>
        </w:rPr>
        <w:t xml:space="preserve"> </w:t>
      </w:r>
      <w:r w:rsidR="00AA2771">
        <w:rPr>
          <w:rFonts w:cs="Arial"/>
        </w:rPr>
        <w:t xml:space="preserve">2016 </w:t>
      </w:r>
      <w:r w:rsidR="000263E5">
        <w:rPr>
          <w:rFonts w:cs="Arial"/>
        </w:rPr>
        <w:t xml:space="preserve">and </w:t>
      </w:r>
      <w:r w:rsidR="000263E5" w:rsidRPr="00F1744E">
        <w:rPr>
          <w:rFonts w:cs="Arial"/>
        </w:rPr>
        <w:t>201</w:t>
      </w:r>
      <w:r w:rsidR="00AA2771" w:rsidRPr="00F1744E">
        <w:rPr>
          <w:rFonts w:cs="Arial"/>
        </w:rPr>
        <w:t>7</w:t>
      </w:r>
      <w:r w:rsidR="000263E5" w:rsidRPr="00F1744E">
        <w:rPr>
          <w:rFonts w:cs="Arial"/>
        </w:rPr>
        <w:t>.</w:t>
      </w:r>
      <w:r w:rsidR="000263E5">
        <w:rPr>
          <w:rFonts w:cs="Arial"/>
        </w:rPr>
        <w:t xml:space="preserve">  T</w:t>
      </w:r>
      <w:r>
        <w:rPr>
          <w:rFonts w:cs="Arial"/>
        </w:rPr>
        <w:t>he City committed $</w:t>
      </w:r>
      <w:r w:rsidR="00486E7B">
        <w:rPr>
          <w:rFonts w:cs="Arial"/>
        </w:rPr>
        <w:t>41</w:t>
      </w:r>
      <w:r>
        <w:rPr>
          <w:rFonts w:cs="Arial"/>
        </w:rPr>
        <w:t>2,000 through the AHTF</w:t>
      </w:r>
      <w:r w:rsidR="000263E5">
        <w:rPr>
          <w:rFonts w:cs="Arial"/>
        </w:rPr>
        <w:t xml:space="preserve"> for</w:t>
      </w:r>
      <w:r w:rsidR="00200D15">
        <w:rPr>
          <w:rFonts w:cs="Arial"/>
        </w:rPr>
        <w:t xml:space="preserve"> </w:t>
      </w:r>
      <w:r w:rsidR="00254326">
        <w:rPr>
          <w:rFonts w:cs="Arial"/>
        </w:rPr>
        <w:t xml:space="preserve">housing projects </w:t>
      </w:r>
      <w:r w:rsidR="00200D15">
        <w:rPr>
          <w:rFonts w:cs="Arial"/>
        </w:rPr>
        <w:t>beginning in July</w:t>
      </w:r>
      <w:r w:rsidR="000263E5">
        <w:rPr>
          <w:rFonts w:cs="Arial"/>
        </w:rPr>
        <w:t xml:space="preserve"> 201</w:t>
      </w:r>
      <w:r w:rsidR="00486E7B">
        <w:rPr>
          <w:rFonts w:cs="Arial"/>
        </w:rPr>
        <w:t>5</w:t>
      </w:r>
      <w:r w:rsidR="000263E5">
        <w:rPr>
          <w:rFonts w:cs="Arial"/>
        </w:rPr>
        <w:t xml:space="preserve"> </w:t>
      </w:r>
      <w:r w:rsidR="00AA2771">
        <w:rPr>
          <w:rFonts w:cs="Arial"/>
        </w:rPr>
        <w:t>all</w:t>
      </w:r>
      <w:r w:rsidR="00486E7B">
        <w:rPr>
          <w:rFonts w:cs="Arial"/>
        </w:rPr>
        <w:t xml:space="preserve"> of which was spent.</w:t>
      </w:r>
      <w:r w:rsidR="00AA2771">
        <w:rPr>
          <w:rFonts w:cs="Arial"/>
        </w:rPr>
        <w:t xml:space="preserve"> For FY 2017-2018, an additional $400,000 was allocated to support downpayment assistance, home repair, and emergency shelter repair.</w:t>
      </w:r>
    </w:p>
    <w:p w:rsidR="00667C28" w:rsidRDefault="006F7AD9" w:rsidP="007E74EE">
      <w:pPr>
        <w:rPr>
          <w:rFonts w:cs="Arial"/>
        </w:rPr>
      </w:pPr>
      <w:r>
        <w:rPr>
          <w:rFonts w:cs="Arial"/>
        </w:rPr>
        <w:t>For other contributions within Youth and Family Services, the amounts available and expended include all youth programs including the Monica Roybal Center and the Carlos Ortega Teen Center.</w:t>
      </w:r>
    </w:p>
    <w:p w:rsidR="00827066" w:rsidRDefault="007E74EE" w:rsidP="007E74EE">
      <w:r>
        <w:t>For the 201</w:t>
      </w:r>
      <w:r w:rsidR="00AA2771">
        <w:t>6</w:t>
      </w:r>
      <w:r w:rsidR="00893D42">
        <w:t>-201</w:t>
      </w:r>
      <w:r w:rsidR="00AA2771">
        <w:t>7</w:t>
      </w:r>
      <w:r>
        <w:t xml:space="preserve"> Program year, the City of Santa Fe administered a total of </w:t>
      </w:r>
      <w:r w:rsidR="00DE541A">
        <w:t>$128,798 through</w:t>
      </w:r>
      <w:r>
        <w:t xml:space="preserve"> </w:t>
      </w:r>
      <w:r w:rsidR="00AA2771">
        <w:t>two</w:t>
      </w:r>
      <w:r w:rsidR="000C2C60">
        <w:t xml:space="preserve"> (</w:t>
      </w:r>
      <w:r w:rsidR="00AA2771">
        <w:t>2</w:t>
      </w:r>
      <w:r w:rsidR="000C2C60">
        <w:t xml:space="preserve">) </w:t>
      </w:r>
      <w:r>
        <w:t xml:space="preserve">Shelter Plus Care grants </w:t>
      </w:r>
      <w:r w:rsidR="00AA2771">
        <w:t>administered by</w:t>
      </w:r>
      <w:r>
        <w:t xml:space="preserve"> The Housing Trust and St. Elizabeth’s Shelter.  </w:t>
      </w:r>
      <w:r w:rsidR="000576D0">
        <w:t>General funds in the amount of $355,000 were</w:t>
      </w:r>
      <w:r w:rsidR="00827066">
        <w:t xml:space="preserve"> administered through the Office of Affor</w:t>
      </w:r>
      <w:r w:rsidR="000576D0">
        <w:t>dable Housing to support homebuyer training and counseling services, income-certification for the Santa Fe Homes Program</w:t>
      </w:r>
      <w:r w:rsidR="003B2C21">
        <w:t xml:space="preserve"> and various professional services, including partially funding the Analysis of Impediments and update of the Housing Needs Analysis</w:t>
      </w:r>
      <w:r w:rsidR="000576D0">
        <w:t>.</w:t>
      </w:r>
    </w:p>
    <w:p w:rsidR="003B2C21" w:rsidRDefault="003B2C21" w:rsidP="007E74EE">
      <w:pPr>
        <w:rPr>
          <w:rFonts w:cs="Arial"/>
        </w:rPr>
        <w:sectPr w:rsidR="003B2C21" w:rsidSect="0076588A">
          <w:pgSz w:w="12240" w:h="15840" w:code="1"/>
          <w:pgMar w:top="1530" w:right="1440" w:bottom="1440" w:left="1440" w:header="720" w:footer="720" w:gutter="0"/>
          <w:cols w:space="720"/>
          <w:docGrid w:linePitch="360"/>
        </w:sectPr>
      </w:pPr>
    </w:p>
    <w:p w:rsidR="00667C28" w:rsidRDefault="00667C28">
      <w:pPr>
        <w:spacing w:after="0" w:line="240" w:lineRule="auto"/>
        <w:rPr>
          <w:b/>
          <w:sz w:val="24"/>
          <w:szCs w:val="24"/>
        </w:rPr>
      </w:pPr>
    </w:p>
    <w:p w:rsidR="00667C28" w:rsidRDefault="007137DF" w:rsidP="003B2C21">
      <w:pPr>
        <w:keepNext/>
        <w:spacing w:line="240" w:lineRule="auto"/>
        <w:rPr>
          <w:b/>
          <w:sz w:val="24"/>
          <w:szCs w:val="24"/>
        </w:rPr>
      </w:pPr>
      <w:r>
        <w:rPr>
          <w:b/>
          <w:sz w:val="24"/>
          <w:szCs w:val="24"/>
        </w:rPr>
        <w:t>Identify the geographic distribution and location of investments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2394"/>
        <w:gridCol w:w="2394"/>
        <w:gridCol w:w="2394"/>
      </w:tblGrid>
      <w:tr w:rsidR="00667C28">
        <w:trPr>
          <w:cantSplit/>
        </w:trPr>
        <w:tc>
          <w:tcPr>
            <w:tcW w:w="2394" w:type="dxa"/>
          </w:tcPr>
          <w:p w:rsidR="00667C28" w:rsidRDefault="007137DF">
            <w:pPr>
              <w:keepNext/>
              <w:widowControl w:val="0"/>
              <w:spacing w:after="0" w:line="240" w:lineRule="auto"/>
              <w:jc w:val="center"/>
              <w:rPr>
                <w:rFonts w:cs="Arial"/>
                <w:b/>
              </w:rPr>
            </w:pPr>
            <w:r>
              <w:rPr>
                <w:rFonts w:cs="Arial"/>
                <w:b/>
              </w:rPr>
              <w:t>Target Area</w:t>
            </w:r>
          </w:p>
        </w:tc>
        <w:tc>
          <w:tcPr>
            <w:tcW w:w="2394" w:type="dxa"/>
          </w:tcPr>
          <w:p w:rsidR="00667C28" w:rsidRDefault="007137DF">
            <w:pPr>
              <w:keepNext/>
              <w:widowControl w:val="0"/>
              <w:spacing w:after="0" w:line="240" w:lineRule="auto"/>
              <w:jc w:val="center"/>
              <w:rPr>
                <w:rFonts w:cs="Arial"/>
                <w:b/>
              </w:rPr>
            </w:pPr>
            <w:r>
              <w:rPr>
                <w:rFonts w:cs="Arial"/>
                <w:b/>
              </w:rPr>
              <w:t>Planned Percentage of Allocation</w:t>
            </w:r>
          </w:p>
        </w:tc>
        <w:tc>
          <w:tcPr>
            <w:tcW w:w="2394" w:type="dxa"/>
          </w:tcPr>
          <w:p w:rsidR="00667C28" w:rsidRDefault="007137DF">
            <w:pPr>
              <w:keepNext/>
              <w:spacing w:after="0" w:line="240" w:lineRule="auto"/>
              <w:jc w:val="center"/>
              <w:rPr>
                <w:rFonts w:cs="Arial"/>
                <w:b/>
              </w:rPr>
            </w:pPr>
            <w:r>
              <w:rPr>
                <w:rFonts w:cs="Arial"/>
                <w:b/>
              </w:rPr>
              <w:t>Actual Percentage of Allocation</w:t>
            </w:r>
          </w:p>
        </w:tc>
        <w:tc>
          <w:tcPr>
            <w:tcW w:w="2394" w:type="dxa"/>
          </w:tcPr>
          <w:p w:rsidR="00667C28" w:rsidRDefault="007137DF">
            <w:pPr>
              <w:keepNext/>
              <w:widowControl w:val="0"/>
              <w:spacing w:after="0" w:line="240" w:lineRule="auto"/>
              <w:jc w:val="center"/>
              <w:rPr>
                <w:rFonts w:cs="Arial"/>
                <w:b/>
              </w:rPr>
            </w:pPr>
            <w:r>
              <w:rPr>
                <w:rFonts w:cs="Arial"/>
                <w:b/>
              </w:rPr>
              <w:t>Narrative Description</w:t>
            </w:r>
          </w:p>
        </w:tc>
      </w:tr>
      <w:tr w:rsidR="00667C28">
        <w:trPr>
          <w:cantSplit/>
        </w:trPr>
        <w:tc>
          <w:tcPr>
            <w:tcW w:w="2394" w:type="dxa"/>
          </w:tcPr>
          <w:p w:rsidR="00667C28" w:rsidRDefault="00345A27">
            <w:pPr>
              <w:keepNext/>
              <w:widowControl w:val="0"/>
              <w:spacing w:after="0" w:line="240" w:lineRule="auto"/>
              <w:rPr>
                <w:rFonts w:cs="Arial"/>
              </w:rPr>
            </w:pPr>
            <w:r>
              <w:rPr>
                <w:rFonts w:cs="Arial"/>
              </w:rPr>
              <w:t>N/A</w:t>
            </w:r>
          </w:p>
        </w:tc>
        <w:tc>
          <w:tcPr>
            <w:tcW w:w="2394" w:type="dxa"/>
          </w:tcPr>
          <w:p w:rsidR="00667C28" w:rsidRDefault="00345A27">
            <w:pPr>
              <w:keepNext/>
              <w:widowControl w:val="0"/>
              <w:spacing w:after="0" w:line="240" w:lineRule="auto"/>
              <w:rPr>
                <w:rFonts w:cs="Arial"/>
              </w:rPr>
            </w:pPr>
            <w:r>
              <w:rPr>
                <w:rFonts w:cs="Arial"/>
              </w:rPr>
              <w:t>N/A</w:t>
            </w:r>
          </w:p>
        </w:tc>
        <w:tc>
          <w:tcPr>
            <w:tcW w:w="2394" w:type="dxa"/>
          </w:tcPr>
          <w:p w:rsidR="00667C28" w:rsidRDefault="00345A27">
            <w:pPr>
              <w:keepNext/>
              <w:widowControl w:val="0"/>
              <w:spacing w:after="0" w:line="240" w:lineRule="auto"/>
              <w:rPr>
                <w:rFonts w:cs="Arial"/>
              </w:rPr>
            </w:pPr>
            <w:r>
              <w:rPr>
                <w:rFonts w:cs="Arial"/>
              </w:rPr>
              <w:t>N/A</w:t>
            </w:r>
          </w:p>
        </w:tc>
        <w:tc>
          <w:tcPr>
            <w:tcW w:w="2394" w:type="dxa"/>
          </w:tcPr>
          <w:p w:rsidR="00667C28" w:rsidRDefault="00345A27">
            <w:pPr>
              <w:keepNext/>
              <w:widowControl w:val="0"/>
              <w:spacing w:after="0" w:line="240" w:lineRule="auto"/>
              <w:rPr>
                <w:rFonts w:cs="Arial"/>
              </w:rPr>
            </w:pPr>
            <w:r>
              <w:rPr>
                <w:rFonts w:cs="Arial"/>
              </w:rPr>
              <w:t>N/A</w:t>
            </w:r>
          </w:p>
        </w:tc>
      </w:tr>
    </w:tbl>
    <w:p w:rsidR="00667C28" w:rsidRPr="001D417F" w:rsidRDefault="007137DF">
      <w:pPr>
        <w:pStyle w:val="Caption"/>
        <w:jc w:val="center"/>
        <w:rPr>
          <w:rFonts w:asciiTheme="minorHAnsi" w:hAnsiTheme="minorHAnsi"/>
        </w:rPr>
      </w:pPr>
      <w:r w:rsidRPr="001D417F">
        <w:rPr>
          <w:rFonts w:asciiTheme="minorHAnsi" w:hAnsiTheme="minorHAnsi"/>
        </w:rPr>
        <w:t xml:space="preserve">Table </w:t>
      </w:r>
      <w:r w:rsidR="00345A27" w:rsidRPr="001D417F">
        <w:rPr>
          <w:rFonts w:asciiTheme="minorHAnsi" w:hAnsiTheme="minorHAnsi"/>
        </w:rPr>
        <w:t>6</w:t>
      </w:r>
      <w:r w:rsidRPr="001D417F">
        <w:rPr>
          <w:rFonts w:asciiTheme="minorHAnsi" w:hAnsiTheme="minorHAnsi"/>
        </w:rPr>
        <w:t xml:space="preserve"> – </w:t>
      </w:r>
      <w:r w:rsidR="00345A27" w:rsidRPr="001D417F">
        <w:rPr>
          <w:rFonts w:asciiTheme="minorHAnsi" w:hAnsiTheme="minorHAnsi"/>
        </w:rPr>
        <w:t>Geographic</w:t>
      </w:r>
      <w:r w:rsidRPr="001D417F">
        <w:rPr>
          <w:rFonts w:asciiTheme="minorHAnsi" w:hAnsiTheme="minorHAnsi"/>
        </w:rPr>
        <w:t xml:space="preserve"> distribution and location of investments</w:t>
      </w:r>
    </w:p>
    <w:p w:rsidR="00667C28" w:rsidRDefault="00667C28">
      <w:pPr>
        <w:keepNext/>
        <w:widowControl w:val="0"/>
        <w:spacing w:line="204" w:lineRule="auto"/>
        <w:rPr>
          <w:b/>
          <w:sz w:val="24"/>
          <w:szCs w:val="24"/>
        </w:rPr>
      </w:pPr>
    </w:p>
    <w:p w:rsidR="00667C28" w:rsidRDefault="007137DF">
      <w:pPr>
        <w:widowControl w:val="0"/>
        <w:spacing w:line="204" w:lineRule="auto"/>
        <w:rPr>
          <w:b/>
          <w:sz w:val="24"/>
          <w:szCs w:val="24"/>
        </w:rPr>
      </w:pPr>
      <w:r>
        <w:rPr>
          <w:b/>
          <w:sz w:val="24"/>
          <w:szCs w:val="24"/>
        </w:rPr>
        <w:t>Narrative</w:t>
      </w:r>
    </w:p>
    <w:p w:rsidR="005E753D" w:rsidRDefault="00345A27" w:rsidP="005E753D">
      <w:pPr>
        <w:widowControl w:val="0"/>
        <w:rPr>
          <w:rFonts w:cs="Arial"/>
        </w:rPr>
      </w:pPr>
      <w:r>
        <w:rPr>
          <w:rFonts w:cs="Arial"/>
        </w:rPr>
        <w:t>In any given program year, the</w:t>
      </w:r>
      <w:r w:rsidRPr="0029379A">
        <w:rPr>
          <w:rFonts w:cs="Arial"/>
        </w:rPr>
        <w:t xml:space="preserve"> City of Santa Fe does not prioriti</w:t>
      </w:r>
      <w:r w:rsidR="00DF4941">
        <w:rPr>
          <w:rFonts w:cs="Arial"/>
        </w:rPr>
        <w:t>ze</w:t>
      </w:r>
      <w:r w:rsidRPr="0029379A">
        <w:rPr>
          <w:rFonts w:cs="Arial"/>
        </w:rPr>
        <w:t xml:space="preserve"> allocating funds and supporting programs geographically, due to the City's lack of population</w:t>
      </w:r>
      <w:r>
        <w:rPr>
          <w:rFonts w:cs="Arial"/>
        </w:rPr>
        <w:t xml:space="preserve"> density relative to its size</w:t>
      </w:r>
      <w:r w:rsidR="003B2C21">
        <w:rPr>
          <w:rFonts w:cs="Arial"/>
        </w:rPr>
        <w:t>. F</w:t>
      </w:r>
      <w:r>
        <w:rPr>
          <w:rFonts w:cs="Arial"/>
        </w:rPr>
        <w:t xml:space="preserve">or the </w:t>
      </w:r>
      <w:r w:rsidR="007D3C37">
        <w:rPr>
          <w:rFonts w:cs="Arial"/>
        </w:rPr>
        <w:t>past two program years</w:t>
      </w:r>
      <w:r>
        <w:rPr>
          <w:rFonts w:cs="Arial"/>
        </w:rPr>
        <w:t xml:space="preserve">, no </w:t>
      </w:r>
      <w:r w:rsidR="003B2C21">
        <w:rPr>
          <w:rFonts w:cs="Arial"/>
        </w:rPr>
        <w:t>single</w:t>
      </w:r>
      <w:r>
        <w:rPr>
          <w:rFonts w:cs="Arial"/>
        </w:rPr>
        <w:t xml:space="preserve"> Census Tract was earmarked for serving its LMI population.  </w:t>
      </w:r>
      <w:r w:rsidRPr="0029379A">
        <w:rPr>
          <w:rFonts w:cs="Arial"/>
        </w:rPr>
        <w:t>Concentrated poverty and/or racial characteristics are not reflected on the census tract level, making it difficult to effectively target resources based on location.  Instead, the City focuses programs on the household income or an identified characteristic of the participants and/or recipients of assistance.   For example, down payment assistance is provided based on the homebuyer's income rather than the location of the home.  Likewise, public service programs for at risk youth serve the citywide population, rather than those youth living in a specific census tract.</w:t>
      </w:r>
      <w:r>
        <w:rPr>
          <w:rFonts w:cs="Arial"/>
        </w:rPr>
        <w:t xml:space="preserve">  This description has been reported in previous years and that priority remains.  </w:t>
      </w:r>
      <w:r w:rsidRPr="0029379A">
        <w:rPr>
          <w:rFonts w:cs="Arial"/>
        </w:rPr>
        <w:t>However, on occasion, a project proposal will be accepted because allocating funds at that site will also serve other community development goals.</w:t>
      </w:r>
    </w:p>
    <w:p w:rsidR="00667C28" w:rsidRDefault="007137DF" w:rsidP="005E753D">
      <w:pPr>
        <w:widowControl w:val="0"/>
        <w:rPr>
          <w:b/>
          <w:sz w:val="24"/>
          <w:szCs w:val="24"/>
        </w:rPr>
      </w:pPr>
      <w:r>
        <w:rPr>
          <w:b/>
          <w:sz w:val="24"/>
          <w:szCs w:val="24"/>
        </w:rPr>
        <w:t>Leveraging</w:t>
      </w:r>
    </w:p>
    <w:p w:rsidR="00667C28" w:rsidRDefault="007137DF">
      <w:pPr>
        <w:widowControl w:val="0"/>
        <w:spacing w:line="204" w:lineRule="auto"/>
        <w:rPr>
          <w:b/>
          <w:sz w:val="24"/>
          <w:szCs w:val="24"/>
        </w:rPr>
      </w:pPr>
      <w:r>
        <w:rPr>
          <w:b/>
          <w:sz w:val="24"/>
          <w:szCs w:val="24"/>
        </w:rPr>
        <w:t>Explain how federal funds  leveraged additional resources (private, state and local funds), including a description of how matching requirements were satisfied, as well as how any publicly owned land or property located within the jurisdiction that were used to address the needs identified in the plan.</w:t>
      </w:r>
    </w:p>
    <w:p w:rsidR="002375D2" w:rsidRPr="0029379A" w:rsidRDefault="002375D2" w:rsidP="001D417F">
      <w:pPr>
        <w:widowControl w:val="0"/>
        <w:rPr>
          <w:rFonts w:cs="Arial"/>
        </w:rPr>
      </w:pPr>
      <w:r w:rsidRPr="0029379A">
        <w:rPr>
          <w:rFonts w:cs="Arial"/>
        </w:rPr>
        <w:t>The City of Santa Fe's model of service delivery is to pass through most federal funds to sub-grantees, who provide the services.  This ensures that services are furnished in the most efficient and relevant manner possible.  The sub-recipients are then able to leverage additional programming and project funds, including L</w:t>
      </w:r>
      <w:r w:rsidR="001A2DAD">
        <w:rPr>
          <w:rFonts w:cs="Arial"/>
        </w:rPr>
        <w:t xml:space="preserve">ow-Income Housing Tax Credits (LIHTC) </w:t>
      </w:r>
      <w:r w:rsidRPr="0029379A">
        <w:rPr>
          <w:rFonts w:cs="Arial"/>
        </w:rPr>
        <w:t>IHTC, HOME (when applicable), ESD, CDFI, as well as funds allocated though the state's Mortgage Finance Authority.</w:t>
      </w:r>
    </w:p>
    <w:p w:rsidR="00667C28" w:rsidRDefault="00667C28">
      <w:pPr>
        <w:keepNext/>
        <w:spacing w:after="0" w:line="240" w:lineRule="auto"/>
        <w:rPr>
          <w:b/>
          <w:sz w:val="24"/>
          <w:szCs w:val="24"/>
        </w:rPr>
        <w:sectPr w:rsidR="00667C28" w:rsidSect="0076588A">
          <w:pgSz w:w="12240" w:h="15840" w:code="1"/>
          <w:pgMar w:top="1530" w:right="1440" w:bottom="1440" w:left="1440" w:header="720" w:footer="720" w:gutter="0"/>
          <w:cols w:space="720"/>
          <w:docGrid w:linePitch="360"/>
        </w:sectPr>
      </w:pPr>
    </w:p>
    <w:p w:rsidR="00667C28" w:rsidRDefault="007137DF">
      <w:pPr>
        <w:pStyle w:val="Heading2"/>
        <w:rPr>
          <w:rFonts w:ascii="Calibri" w:hAnsi="Calibri"/>
          <w:i w:val="0"/>
        </w:rPr>
      </w:pPr>
      <w:bookmarkStart w:id="5" w:name="_Toc426364866"/>
      <w:bookmarkStart w:id="6" w:name="_Toc309810475"/>
      <w:r>
        <w:rPr>
          <w:rFonts w:ascii="Calibri" w:hAnsi="Calibri"/>
          <w:i w:val="0"/>
        </w:rPr>
        <w:lastRenderedPageBreak/>
        <w:t>CR-20 - Affordable Housing 91.520(b)</w:t>
      </w:r>
      <w:bookmarkEnd w:id="5"/>
    </w:p>
    <w:p w:rsidR="00667C28" w:rsidRDefault="007137DF">
      <w:pPr>
        <w:keepNext/>
        <w:widowControl w:val="0"/>
        <w:rPr>
          <w:b/>
          <w:sz w:val="24"/>
          <w:szCs w:val="24"/>
        </w:rPr>
      </w:pPr>
      <w:r>
        <w:rPr>
          <w:b/>
          <w:sz w:val="24"/>
          <w:szCs w:val="24"/>
        </w:rPr>
        <w:t>Evaluation of the jurisdiction's progress in providing affordable housing, including the number and types of families served, the number of extremely low-income, low-income, moderate-income, and middle-income persons served.</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293"/>
        <w:gridCol w:w="2648"/>
        <w:gridCol w:w="2649"/>
      </w:tblGrid>
      <w:tr w:rsidR="00667C28">
        <w:trPr>
          <w:cantSplit/>
          <w:tblHeader/>
        </w:trPr>
        <w:tc>
          <w:tcPr>
            <w:tcW w:w="4293" w:type="dxa"/>
          </w:tcPr>
          <w:p w:rsidR="00667C28" w:rsidRDefault="00667C28">
            <w:pPr>
              <w:pStyle w:val="Caption"/>
              <w:keepNext/>
              <w:widowControl w:val="0"/>
              <w:jc w:val="center"/>
              <w:rPr>
                <w:rFonts w:ascii="Calibri" w:hAnsi="Calibri"/>
                <w:sz w:val="22"/>
                <w:szCs w:val="22"/>
              </w:rPr>
            </w:pPr>
          </w:p>
        </w:tc>
        <w:tc>
          <w:tcPr>
            <w:tcW w:w="2648" w:type="dxa"/>
          </w:tcPr>
          <w:p w:rsidR="00667C28" w:rsidRDefault="007137DF">
            <w:pPr>
              <w:pStyle w:val="Caption"/>
              <w:keepNext/>
              <w:widowControl w:val="0"/>
              <w:jc w:val="center"/>
              <w:rPr>
                <w:rFonts w:ascii="Calibri" w:hAnsi="Calibri"/>
                <w:sz w:val="22"/>
                <w:szCs w:val="22"/>
              </w:rPr>
            </w:pPr>
            <w:r>
              <w:rPr>
                <w:rFonts w:ascii="Calibri" w:hAnsi="Calibri"/>
                <w:sz w:val="22"/>
                <w:szCs w:val="22"/>
              </w:rPr>
              <w:t>One-Year Goal</w:t>
            </w:r>
            <w:r w:rsidR="002375D2">
              <w:rPr>
                <w:rFonts w:ascii="Calibri" w:hAnsi="Calibri"/>
                <w:sz w:val="22"/>
                <w:szCs w:val="22"/>
              </w:rPr>
              <w:t xml:space="preserve"> (CDBG and Other Programs)</w:t>
            </w:r>
          </w:p>
        </w:tc>
        <w:tc>
          <w:tcPr>
            <w:tcW w:w="2649" w:type="dxa"/>
          </w:tcPr>
          <w:p w:rsidR="00667C28" w:rsidRDefault="007137DF" w:rsidP="000F1643">
            <w:pPr>
              <w:pStyle w:val="Caption"/>
              <w:keepNext/>
              <w:widowControl w:val="0"/>
              <w:jc w:val="center"/>
              <w:rPr>
                <w:rFonts w:ascii="Calibri" w:hAnsi="Calibri"/>
                <w:sz w:val="22"/>
                <w:szCs w:val="22"/>
              </w:rPr>
            </w:pPr>
            <w:r>
              <w:rPr>
                <w:rFonts w:ascii="Calibri" w:hAnsi="Calibri"/>
                <w:sz w:val="22"/>
                <w:szCs w:val="22"/>
              </w:rPr>
              <w:t>Actual</w:t>
            </w:r>
            <w:r w:rsidR="002375D2">
              <w:rPr>
                <w:rFonts w:ascii="Calibri" w:hAnsi="Calibri"/>
                <w:sz w:val="22"/>
                <w:szCs w:val="22"/>
              </w:rPr>
              <w:t xml:space="preserve"> </w:t>
            </w:r>
          </w:p>
        </w:tc>
      </w:tr>
      <w:tr w:rsidR="00667C28">
        <w:trPr>
          <w:cantSplit/>
        </w:trPr>
        <w:tc>
          <w:tcPr>
            <w:tcW w:w="4293" w:type="dxa"/>
            <w:vAlign w:val="bottom"/>
          </w:tcPr>
          <w:p w:rsidR="00667C28" w:rsidRDefault="007137DF">
            <w:pPr>
              <w:spacing w:beforeAutospacing="1" w:afterAutospacing="1"/>
            </w:pPr>
            <w:r>
              <w:rPr>
                <w:color w:val="000000"/>
              </w:rPr>
              <w:t>Number of Homeless households to be provided affordable housing units</w:t>
            </w:r>
          </w:p>
        </w:tc>
        <w:tc>
          <w:tcPr>
            <w:tcW w:w="2648" w:type="dxa"/>
            <w:vAlign w:val="bottom"/>
          </w:tcPr>
          <w:p w:rsidR="00667C28" w:rsidRPr="00F1744E" w:rsidRDefault="004A6DDF" w:rsidP="004A6DDF">
            <w:pPr>
              <w:spacing w:before="100" w:beforeAutospacing="1" w:after="100" w:afterAutospacing="1"/>
              <w:jc w:val="right"/>
            </w:pPr>
            <w:r>
              <w:t>176</w:t>
            </w:r>
          </w:p>
        </w:tc>
        <w:tc>
          <w:tcPr>
            <w:tcW w:w="2649" w:type="dxa"/>
            <w:vAlign w:val="bottom"/>
          </w:tcPr>
          <w:p w:rsidR="00667C28" w:rsidRPr="00F1744E" w:rsidRDefault="004A6DDF">
            <w:pPr>
              <w:spacing w:beforeAutospacing="1" w:afterAutospacing="1"/>
              <w:jc w:val="right"/>
            </w:pPr>
            <w:r>
              <w:t>161</w:t>
            </w:r>
          </w:p>
        </w:tc>
      </w:tr>
      <w:tr w:rsidR="00667C28">
        <w:trPr>
          <w:cantSplit/>
        </w:trPr>
        <w:tc>
          <w:tcPr>
            <w:tcW w:w="4293" w:type="dxa"/>
            <w:vAlign w:val="bottom"/>
          </w:tcPr>
          <w:p w:rsidR="00667C28" w:rsidRDefault="007137DF">
            <w:pPr>
              <w:spacing w:beforeAutospacing="1" w:afterAutospacing="1"/>
            </w:pPr>
            <w:r>
              <w:rPr>
                <w:color w:val="000000"/>
              </w:rPr>
              <w:t>Number of Non-Homeless households to be provided affordable housing units</w:t>
            </w:r>
          </w:p>
        </w:tc>
        <w:tc>
          <w:tcPr>
            <w:tcW w:w="2648" w:type="dxa"/>
            <w:vAlign w:val="bottom"/>
          </w:tcPr>
          <w:p w:rsidR="00667C28" w:rsidRPr="00F1744E" w:rsidRDefault="009F00B3">
            <w:pPr>
              <w:spacing w:beforeAutospacing="1" w:afterAutospacing="1"/>
              <w:jc w:val="right"/>
            </w:pPr>
            <w:r w:rsidRPr="00F1744E">
              <w:rPr>
                <w:color w:val="000000"/>
              </w:rPr>
              <w:t>60</w:t>
            </w:r>
          </w:p>
        </w:tc>
        <w:tc>
          <w:tcPr>
            <w:tcW w:w="2649" w:type="dxa"/>
            <w:vAlign w:val="bottom"/>
          </w:tcPr>
          <w:p w:rsidR="00667C28" w:rsidRPr="00F1744E" w:rsidRDefault="00F1744E">
            <w:pPr>
              <w:spacing w:beforeAutospacing="1" w:afterAutospacing="1"/>
              <w:jc w:val="right"/>
            </w:pPr>
            <w:r>
              <w:rPr>
                <w:color w:val="000000"/>
              </w:rPr>
              <w:t>0</w:t>
            </w:r>
          </w:p>
        </w:tc>
      </w:tr>
      <w:tr w:rsidR="00667C28">
        <w:trPr>
          <w:cantSplit/>
        </w:trPr>
        <w:tc>
          <w:tcPr>
            <w:tcW w:w="4293" w:type="dxa"/>
            <w:vAlign w:val="bottom"/>
          </w:tcPr>
          <w:p w:rsidR="00667C28" w:rsidRDefault="007137DF">
            <w:pPr>
              <w:spacing w:beforeAutospacing="1" w:afterAutospacing="1"/>
            </w:pPr>
            <w:r>
              <w:rPr>
                <w:color w:val="000000"/>
              </w:rPr>
              <w:t>Number of Special-Needs households to be provided affordable housing units</w:t>
            </w:r>
          </w:p>
        </w:tc>
        <w:tc>
          <w:tcPr>
            <w:tcW w:w="2648" w:type="dxa"/>
            <w:vAlign w:val="bottom"/>
          </w:tcPr>
          <w:p w:rsidR="00667C28" w:rsidRPr="00F1744E" w:rsidRDefault="007137DF">
            <w:pPr>
              <w:spacing w:beforeAutospacing="1" w:afterAutospacing="1"/>
              <w:jc w:val="right"/>
            </w:pPr>
            <w:r w:rsidRPr="00F1744E">
              <w:rPr>
                <w:color w:val="000000"/>
              </w:rPr>
              <w:t>40</w:t>
            </w:r>
          </w:p>
        </w:tc>
        <w:tc>
          <w:tcPr>
            <w:tcW w:w="2649" w:type="dxa"/>
            <w:vAlign w:val="bottom"/>
          </w:tcPr>
          <w:p w:rsidR="00667C28" w:rsidRPr="00F1744E" w:rsidRDefault="004A6DDF">
            <w:pPr>
              <w:spacing w:beforeAutospacing="1" w:afterAutospacing="1"/>
              <w:jc w:val="right"/>
            </w:pPr>
            <w:r>
              <w:rPr>
                <w:color w:val="000000"/>
              </w:rPr>
              <w:t>0</w:t>
            </w:r>
          </w:p>
        </w:tc>
      </w:tr>
      <w:tr w:rsidR="00667C28">
        <w:trPr>
          <w:cantSplit/>
        </w:trPr>
        <w:tc>
          <w:tcPr>
            <w:tcW w:w="4293" w:type="dxa"/>
          </w:tcPr>
          <w:p w:rsidR="00667C28" w:rsidRDefault="007137DF">
            <w:pPr>
              <w:spacing w:beforeAutospacing="1" w:afterAutospacing="1"/>
            </w:pPr>
            <w:r>
              <w:rPr>
                <w:b/>
                <w:color w:val="000000"/>
              </w:rPr>
              <w:t>Total</w:t>
            </w:r>
          </w:p>
        </w:tc>
        <w:tc>
          <w:tcPr>
            <w:tcW w:w="2648" w:type="dxa"/>
            <w:vAlign w:val="bottom"/>
          </w:tcPr>
          <w:p w:rsidR="00667C28" w:rsidRPr="00F1744E" w:rsidRDefault="004A6DDF">
            <w:pPr>
              <w:spacing w:beforeAutospacing="1" w:afterAutospacing="1"/>
              <w:jc w:val="right"/>
              <w:rPr>
                <w:b/>
              </w:rPr>
            </w:pPr>
            <w:r>
              <w:rPr>
                <w:b/>
              </w:rPr>
              <w:t>276</w:t>
            </w:r>
          </w:p>
        </w:tc>
        <w:tc>
          <w:tcPr>
            <w:tcW w:w="2649" w:type="dxa"/>
            <w:vAlign w:val="bottom"/>
          </w:tcPr>
          <w:p w:rsidR="00667C28" w:rsidRPr="00F1744E" w:rsidRDefault="004A6DDF">
            <w:pPr>
              <w:spacing w:beforeAutospacing="1" w:afterAutospacing="1"/>
              <w:jc w:val="right"/>
              <w:rPr>
                <w:b/>
              </w:rPr>
            </w:pPr>
            <w:r>
              <w:rPr>
                <w:b/>
              </w:rPr>
              <w:t>16</w:t>
            </w:r>
            <w:r w:rsidR="002F3627" w:rsidRPr="00F1744E">
              <w:rPr>
                <w:b/>
              </w:rPr>
              <w:t>1</w:t>
            </w:r>
          </w:p>
        </w:tc>
      </w:tr>
    </w:tbl>
    <w:p w:rsidR="00667C28" w:rsidRDefault="007137DF">
      <w:pPr>
        <w:pStyle w:val="Caption"/>
        <w:jc w:val="center"/>
        <w:rPr>
          <w:rFonts w:asciiTheme="minorHAnsi" w:hAnsiTheme="minorHAnsi"/>
        </w:rPr>
      </w:pPr>
      <w:r w:rsidRPr="005C6824">
        <w:rPr>
          <w:rFonts w:asciiTheme="minorHAnsi" w:hAnsiTheme="minorHAnsi"/>
          <w:i/>
        </w:rPr>
        <w:t xml:space="preserve">Table </w:t>
      </w:r>
      <w:r w:rsidR="005C6824" w:rsidRPr="005C6824">
        <w:rPr>
          <w:rFonts w:asciiTheme="minorHAnsi" w:hAnsiTheme="minorHAnsi"/>
          <w:i/>
        </w:rPr>
        <w:t>7</w:t>
      </w:r>
      <w:r>
        <w:rPr>
          <w:rFonts w:asciiTheme="minorHAnsi" w:hAnsiTheme="minorHAnsi"/>
        </w:rPr>
        <w:t xml:space="preserve">- </w:t>
      </w:r>
      <w:r w:rsidR="004578B6">
        <w:rPr>
          <w:rFonts w:asciiTheme="minorHAnsi" w:hAnsiTheme="minorHAnsi"/>
        </w:rPr>
        <w:t xml:space="preserve">Goals:  </w:t>
      </w:r>
      <w:r>
        <w:rPr>
          <w:rFonts w:asciiTheme="minorHAnsi" w:hAnsiTheme="minorHAnsi"/>
        </w:rPr>
        <w:t>Number of Households</w:t>
      </w:r>
    </w:p>
    <w:p w:rsidR="00667C28" w:rsidRDefault="00667C28">
      <w:pPr>
        <w:rPr>
          <w:rFonts w:cs="Arial"/>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293"/>
        <w:gridCol w:w="2648"/>
        <w:gridCol w:w="2649"/>
      </w:tblGrid>
      <w:tr w:rsidR="00667C28">
        <w:trPr>
          <w:cantSplit/>
          <w:tblHeader/>
        </w:trPr>
        <w:tc>
          <w:tcPr>
            <w:tcW w:w="4293" w:type="dxa"/>
          </w:tcPr>
          <w:p w:rsidR="00667C28" w:rsidRDefault="00667C28">
            <w:pPr>
              <w:pStyle w:val="Caption"/>
              <w:keepNext/>
              <w:widowControl w:val="0"/>
              <w:jc w:val="center"/>
              <w:rPr>
                <w:rFonts w:ascii="Calibri" w:hAnsi="Calibri"/>
                <w:sz w:val="22"/>
                <w:szCs w:val="22"/>
              </w:rPr>
            </w:pPr>
          </w:p>
        </w:tc>
        <w:tc>
          <w:tcPr>
            <w:tcW w:w="2648" w:type="dxa"/>
          </w:tcPr>
          <w:p w:rsidR="00667C28" w:rsidRDefault="007137DF">
            <w:pPr>
              <w:pStyle w:val="Caption"/>
              <w:keepNext/>
              <w:widowControl w:val="0"/>
              <w:jc w:val="center"/>
              <w:rPr>
                <w:rFonts w:ascii="Calibri" w:hAnsi="Calibri"/>
                <w:sz w:val="22"/>
                <w:szCs w:val="22"/>
              </w:rPr>
            </w:pPr>
            <w:r>
              <w:rPr>
                <w:rFonts w:ascii="Calibri" w:hAnsi="Calibri"/>
                <w:sz w:val="22"/>
                <w:szCs w:val="22"/>
              </w:rPr>
              <w:t>One-Year Goal</w:t>
            </w:r>
            <w:r w:rsidR="00595FEF">
              <w:rPr>
                <w:rFonts w:ascii="Calibri" w:hAnsi="Calibri"/>
                <w:sz w:val="22"/>
                <w:szCs w:val="22"/>
              </w:rPr>
              <w:t xml:space="preserve"> </w:t>
            </w:r>
            <w:r w:rsidR="000F1643">
              <w:rPr>
                <w:rFonts w:ascii="Calibri" w:hAnsi="Calibri"/>
                <w:sz w:val="22"/>
                <w:szCs w:val="22"/>
              </w:rPr>
              <w:t>(CDBG and Other Programs)</w:t>
            </w:r>
          </w:p>
        </w:tc>
        <w:tc>
          <w:tcPr>
            <w:tcW w:w="2649" w:type="dxa"/>
          </w:tcPr>
          <w:p w:rsidR="00667C28" w:rsidRDefault="007137DF">
            <w:pPr>
              <w:pStyle w:val="Caption"/>
              <w:keepNext/>
              <w:widowControl w:val="0"/>
              <w:jc w:val="center"/>
              <w:rPr>
                <w:rFonts w:ascii="Calibri" w:hAnsi="Calibri"/>
                <w:sz w:val="22"/>
                <w:szCs w:val="22"/>
              </w:rPr>
            </w:pPr>
            <w:r>
              <w:rPr>
                <w:rFonts w:ascii="Calibri" w:hAnsi="Calibri"/>
                <w:sz w:val="22"/>
                <w:szCs w:val="22"/>
              </w:rPr>
              <w:t>Actual</w:t>
            </w:r>
            <w:r w:rsidR="00604D36">
              <w:rPr>
                <w:rFonts w:ascii="Calibri" w:hAnsi="Calibri"/>
                <w:sz w:val="22"/>
                <w:szCs w:val="22"/>
              </w:rPr>
              <w:t xml:space="preserve"> </w:t>
            </w:r>
            <w:r w:rsidR="000F1643">
              <w:rPr>
                <w:rFonts w:ascii="Calibri" w:hAnsi="Calibri"/>
                <w:sz w:val="22"/>
                <w:szCs w:val="22"/>
              </w:rPr>
              <w:t>(CDBG and Other Programs)</w:t>
            </w:r>
          </w:p>
        </w:tc>
      </w:tr>
      <w:tr w:rsidR="00F1744E">
        <w:trPr>
          <w:cantSplit/>
        </w:trPr>
        <w:tc>
          <w:tcPr>
            <w:tcW w:w="4293" w:type="dxa"/>
            <w:vAlign w:val="bottom"/>
          </w:tcPr>
          <w:p w:rsidR="00F1744E" w:rsidRDefault="00F1744E">
            <w:pPr>
              <w:spacing w:beforeAutospacing="1" w:afterAutospacing="1"/>
            </w:pPr>
            <w:r>
              <w:rPr>
                <w:color w:val="000000"/>
              </w:rPr>
              <w:t>Number of households supported through Rental Assistance</w:t>
            </w:r>
          </w:p>
        </w:tc>
        <w:tc>
          <w:tcPr>
            <w:tcW w:w="2648" w:type="dxa"/>
            <w:vAlign w:val="bottom"/>
          </w:tcPr>
          <w:p w:rsidR="00F1744E" w:rsidRPr="00F1744E" w:rsidRDefault="00F1744E" w:rsidP="002E09B1">
            <w:pPr>
              <w:spacing w:before="100" w:beforeAutospacing="1" w:after="100" w:afterAutospacing="1"/>
              <w:jc w:val="right"/>
            </w:pPr>
            <w:r w:rsidRPr="00F1744E">
              <w:rPr>
                <w:color w:val="000000"/>
              </w:rPr>
              <w:t>875</w:t>
            </w:r>
          </w:p>
        </w:tc>
        <w:tc>
          <w:tcPr>
            <w:tcW w:w="2649" w:type="dxa"/>
            <w:vAlign w:val="bottom"/>
          </w:tcPr>
          <w:p w:rsidR="00F1744E" w:rsidRPr="00F1744E" w:rsidRDefault="00F1744E" w:rsidP="002E09B1">
            <w:pPr>
              <w:spacing w:beforeAutospacing="1" w:afterAutospacing="1"/>
              <w:jc w:val="right"/>
            </w:pPr>
            <w:r w:rsidRPr="00F1744E">
              <w:rPr>
                <w:color w:val="000000"/>
              </w:rPr>
              <w:t>900</w:t>
            </w:r>
          </w:p>
        </w:tc>
      </w:tr>
      <w:tr w:rsidR="00667C28">
        <w:trPr>
          <w:cantSplit/>
        </w:trPr>
        <w:tc>
          <w:tcPr>
            <w:tcW w:w="4293" w:type="dxa"/>
            <w:vAlign w:val="bottom"/>
          </w:tcPr>
          <w:p w:rsidR="00667C28" w:rsidRDefault="007137DF">
            <w:pPr>
              <w:spacing w:beforeAutospacing="1" w:afterAutospacing="1"/>
            </w:pPr>
            <w:r>
              <w:rPr>
                <w:color w:val="000000"/>
              </w:rPr>
              <w:t>Number of households supported through Rehab of Existing Units</w:t>
            </w:r>
          </w:p>
        </w:tc>
        <w:tc>
          <w:tcPr>
            <w:tcW w:w="2648" w:type="dxa"/>
            <w:vAlign w:val="bottom"/>
          </w:tcPr>
          <w:p w:rsidR="00667C28" w:rsidRPr="008E688F" w:rsidRDefault="008E688F">
            <w:pPr>
              <w:spacing w:beforeAutospacing="1" w:afterAutospacing="1"/>
              <w:jc w:val="right"/>
            </w:pPr>
            <w:r w:rsidRPr="008E688F">
              <w:rPr>
                <w:color w:val="000000"/>
              </w:rPr>
              <w:t>15</w:t>
            </w:r>
          </w:p>
        </w:tc>
        <w:tc>
          <w:tcPr>
            <w:tcW w:w="2649" w:type="dxa"/>
            <w:vAlign w:val="bottom"/>
          </w:tcPr>
          <w:p w:rsidR="00667C28" w:rsidRPr="008E688F" w:rsidRDefault="008E688F">
            <w:pPr>
              <w:spacing w:beforeAutospacing="1" w:afterAutospacing="1"/>
              <w:jc w:val="right"/>
            </w:pPr>
            <w:r w:rsidRPr="008E688F">
              <w:rPr>
                <w:color w:val="000000"/>
              </w:rPr>
              <w:t>31</w:t>
            </w:r>
          </w:p>
        </w:tc>
      </w:tr>
      <w:tr w:rsidR="00667C28">
        <w:trPr>
          <w:cantSplit/>
        </w:trPr>
        <w:tc>
          <w:tcPr>
            <w:tcW w:w="4293" w:type="dxa"/>
            <w:vAlign w:val="bottom"/>
          </w:tcPr>
          <w:p w:rsidR="00667C28" w:rsidRDefault="007137DF">
            <w:pPr>
              <w:spacing w:beforeAutospacing="1" w:afterAutospacing="1"/>
            </w:pPr>
            <w:r>
              <w:rPr>
                <w:color w:val="000000"/>
              </w:rPr>
              <w:t>Number of households supported through Acquisition of Existing Units</w:t>
            </w:r>
          </w:p>
        </w:tc>
        <w:tc>
          <w:tcPr>
            <w:tcW w:w="2648" w:type="dxa"/>
            <w:vAlign w:val="bottom"/>
          </w:tcPr>
          <w:p w:rsidR="00667C28" w:rsidRPr="003B2C21" w:rsidRDefault="00F5061E">
            <w:pPr>
              <w:spacing w:beforeAutospacing="1" w:afterAutospacing="1"/>
              <w:jc w:val="right"/>
              <w:rPr>
                <w:highlight w:val="yellow"/>
              </w:rPr>
            </w:pPr>
            <w:r w:rsidRPr="008E688F">
              <w:rPr>
                <w:color w:val="000000"/>
              </w:rPr>
              <w:t>1-2</w:t>
            </w:r>
          </w:p>
        </w:tc>
        <w:tc>
          <w:tcPr>
            <w:tcW w:w="2649" w:type="dxa"/>
            <w:vAlign w:val="bottom"/>
          </w:tcPr>
          <w:p w:rsidR="00667C28" w:rsidRPr="008E688F" w:rsidRDefault="007137DF">
            <w:pPr>
              <w:spacing w:beforeAutospacing="1" w:afterAutospacing="1"/>
              <w:jc w:val="right"/>
            </w:pPr>
            <w:r w:rsidRPr="008E688F">
              <w:rPr>
                <w:color w:val="000000"/>
              </w:rPr>
              <w:t>0</w:t>
            </w:r>
          </w:p>
        </w:tc>
      </w:tr>
      <w:tr w:rsidR="00667C28">
        <w:trPr>
          <w:cantSplit/>
        </w:trPr>
        <w:tc>
          <w:tcPr>
            <w:tcW w:w="4293" w:type="dxa"/>
          </w:tcPr>
          <w:p w:rsidR="00667C28" w:rsidRDefault="007137DF">
            <w:pPr>
              <w:spacing w:beforeAutospacing="1" w:afterAutospacing="1"/>
            </w:pPr>
            <w:r>
              <w:rPr>
                <w:b/>
                <w:color w:val="000000"/>
              </w:rPr>
              <w:t>Total</w:t>
            </w:r>
          </w:p>
        </w:tc>
        <w:tc>
          <w:tcPr>
            <w:tcW w:w="2648" w:type="dxa"/>
            <w:vAlign w:val="bottom"/>
          </w:tcPr>
          <w:p w:rsidR="00667C28" w:rsidRPr="003B2C21" w:rsidRDefault="008E688F">
            <w:pPr>
              <w:spacing w:beforeAutospacing="1" w:afterAutospacing="1"/>
              <w:jc w:val="right"/>
              <w:rPr>
                <w:b/>
                <w:highlight w:val="yellow"/>
              </w:rPr>
            </w:pPr>
            <w:r w:rsidRPr="008E688F">
              <w:rPr>
                <w:b/>
              </w:rPr>
              <w:t>881</w:t>
            </w:r>
          </w:p>
        </w:tc>
        <w:tc>
          <w:tcPr>
            <w:tcW w:w="2649" w:type="dxa"/>
            <w:vAlign w:val="bottom"/>
          </w:tcPr>
          <w:p w:rsidR="00667C28" w:rsidRPr="008E688F" w:rsidRDefault="008E688F">
            <w:pPr>
              <w:spacing w:beforeAutospacing="1" w:afterAutospacing="1"/>
              <w:jc w:val="right"/>
              <w:rPr>
                <w:b/>
              </w:rPr>
            </w:pPr>
            <w:r w:rsidRPr="008E688F">
              <w:rPr>
                <w:b/>
              </w:rPr>
              <w:t>931</w:t>
            </w:r>
          </w:p>
        </w:tc>
      </w:tr>
    </w:tbl>
    <w:p w:rsidR="00667C28" w:rsidRPr="004578B6" w:rsidRDefault="007137DF">
      <w:pPr>
        <w:pStyle w:val="Caption"/>
        <w:jc w:val="center"/>
        <w:rPr>
          <w:rFonts w:asciiTheme="minorHAnsi" w:hAnsiTheme="minorHAnsi"/>
        </w:rPr>
      </w:pPr>
      <w:r w:rsidRPr="004578B6">
        <w:rPr>
          <w:rFonts w:asciiTheme="minorHAnsi" w:hAnsiTheme="minorHAnsi"/>
          <w:i/>
        </w:rPr>
        <w:t xml:space="preserve">Table </w:t>
      </w:r>
      <w:r w:rsidR="005C6824" w:rsidRPr="004578B6">
        <w:rPr>
          <w:rFonts w:asciiTheme="minorHAnsi" w:hAnsiTheme="minorHAnsi"/>
          <w:i/>
        </w:rPr>
        <w:t>8</w:t>
      </w:r>
      <w:r w:rsidRPr="004578B6">
        <w:rPr>
          <w:rFonts w:asciiTheme="minorHAnsi" w:hAnsiTheme="minorHAnsi"/>
        </w:rPr>
        <w:t xml:space="preserve"> - </w:t>
      </w:r>
      <w:r w:rsidR="004578B6" w:rsidRPr="004578B6">
        <w:rPr>
          <w:rFonts w:asciiTheme="minorHAnsi" w:hAnsiTheme="minorHAnsi"/>
        </w:rPr>
        <w:t xml:space="preserve"> Outcomes:  </w:t>
      </w:r>
      <w:r w:rsidRPr="004578B6">
        <w:rPr>
          <w:rFonts w:asciiTheme="minorHAnsi" w:hAnsiTheme="minorHAnsi"/>
        </w:rPr>
        <w:t>Number of Households Supported</w:t>
      </w:r>
    </w:p>
    <w:p w:rsidR="00C70DEC" w:rsidRDefault="00C70DEC">
      <w:pPr>
        <w:widowControl w:val="0"/>
        <w:spacing w:line="204" w:lineRule="auto"/>
        <w:rPr>
          <w:b/>
          <w:sz w:val="24"/>
          <w:szCs w:val="24"/>
        </w:rPr>
      </w:pPr>
    </w:p>
    <w:p w:rsidR="00667C28" w:rsidRDefault="007137DF">
      <w:pPr>
        <w:widowControl w:val="0"/>
        <w:spacing w:line="204" w:lineRule="auto"/>
        <w:rPr>
          <w:b/>
          <w:sz w:val="24"/>
          <w:szCs w:val="24"/>
        </w:rPr>
      </w:pPr>
      <w:r>
        <w:rPr>
          <w:b/>
          <w:sz w:val="24"/>
          <w:szCs w:val="24"/>
        </w:rPr>
        <w:t>Discuss the difference between goals and outcomes and problems encountered in meeting these goals.</w:t>
      </w:r>
    </w:p>
    <w:p w:rsidR="00FB67CF" w:rsidRDefault="004E7BE9" w:rsidP="00FB67CF">
      <w:pPr>
        <w:rPr>
          <w:rFonts w:cs="Arial"/>
        </w:rPr>
      </w:pPr>
      <w:r w:rsidRPr="004E7BE9">
        <w:rPr>
          <w:rFonts w:cs="Arial"/>
          <w:u w:val="single"/>
        </w:rPr>
        <w:t>Goals</w:t>
      </w:r>
      <w:r>
        <w:rPr>
          <w:rFonts w:cs="Arial"/>
        </w:rPr>
        <w:t xml:space="preserve">:  </w:t>
      </w:r>
      <w:r w:rsidR="005C6824">
        <w:rPr>
          <w:rFonts w:cs="Arial"/>
        </w:rPr>
        <w:t xml:space="preserve">The one year goal of providing affordable housing units to otherwise homeless individuals was not represented in any </w:t>
      </w:r>
      <w:r w:rsidR="004A6DDF">
        <w:rPr>
          <w:rFonts w:cs="Arial"/>
        </w:rPr>
        <w:t>CDBG-</w:t>
      </w:r>
      <w:r w:rsidR="005C6824">
        <w:rPr>
          <w:rFonts w:cs="Arial"/>
        </w:rPr>
        <w:t xml:space="preserve">funded projects for </w:t>
      </w:r>
      <w:r w:rsidR="003B2C21">
        <w:rPr>
          <w:rFonts w:cs="Arial"/>
        </w:rPr>
        <w:t xml:space="preserve">2014, </w:t>
      </w:r>
      <w:r w:rsidR="005C6824">
        <w:rPr>
          <w:rFonts w:cs="Arial"/>
        </w:rPr>
        <w:t>201</w:t>
      </w:r>
      <w:r w:rsidR="001C0914">
        <w:rPr>
          <w:rFonts w:cs="Arial"/>
        </w:rPr>
        <w:t>5</w:t>
      </w:r>
      <w:r w:rsidR="003B2C21">
        <w:rPr>
          <w:rFonts w:cs="Arial"/>
        </w:rPr>
        <w:t>, or 2016</w:t>
      </w:r>
      <w:r w:rsidR="005C6824">
        <w:rPr>
          <w:rFonts w:cs="Arial"/>
        </w:rPr>
        <w:t xml:space="preserve">. </w:t>
      </w:r>
      <w:r w:rsidR="004A6DDF">
        <w:rPr>
          <w:rFonts w:cs="Arial"/>
        </w:rPr>
        <w:t xml:space="preserve">However, several organizations offer permanent supportive housing units for homeless including: </w:t>
      </w:r>
      <w:r w:rsidR="001D1232">
        <w:rPr>
          <w:rFonts w:cs="Arial"/>
        </w:rPr>
        <w:t>12 units at Village Sage and Stagecoach Apartments (partially funded through Shelter Plus Care grants administered to the Housing Trust), 24 units at La Luz (Life Link), 28 units at Casa Cerrillos (St Elizabeth), 8 units at Sonrisa (</w:t>
      </w:r>
      <w:r w:rsidR="001D1232">
        <w:rPr>
          <w:rFonts w:cs="Arial"/>
        </w:rPr>
        <w:t>St Elizabeth</w:t>
      </w:r>
      <w:r w:rsidR="001D1232">
        <w:rPr>
          <w:rFonts w:cs="Arial"/>
        </w:rPr>
        <w:t>), 8 units at Siringo Senior Apartments (</w:t>
      </w:r>
      <w:r w:rsidR="001D1232">
        <w:rPr>
          <w:rFonts w:cs="Arial"/>
        </w:rPr>
        <w:t>St Elizabeth</w:t>
      </w:r>
      <w:r w:rsidR="001D1232">
        <w:rPr>
          <w:rFonts w:cs="Arial"/>
        </w:rPr>
        <w:t>), 45 through Linkages (La Luz), and 18 units for youth (Youth Shelters).</w:t>
      </w:r>
      <w:r w:rsidR="003B2C21">
        <w:rPr>
          <w:rFonts w:cs="Arial"/>
        </w:rPr>
        <w:t xml:space="preserve"> </w:t>
      </w:r>
      <w:r w:rsidR="00DC1ACB">
        <w:rPr>
          <w:rFonts w:cs="Arial"/>
        </w:rPr>
        <w:t xml:space="preserve">Furthermore, the number of Homeless Households as 1,430 was not discussed in the 2013-2017 Consolidated </w:t>
      </w:r>
      <w:r w:rsidR="009F00B3">
        <w:rPr>
          <w:rFonts w:cs="Arial"/>
        </w:rPr>
        <w:t>P</w:t>
      </w:r>
      <w:r w:rsidR="001D1232">
        <w:rPr>
          <w:rFonts w:cs="Arial"/>
        </w:rPr>
        <w:t xml:space="preserve">lan although the plan states that </w:t>
      </w:r>
      <w:r w:rsidR="00DC1ACB">
        <w:rPr>
          <w:rFonts w:cs="Arial"/>
        </w:rPr>
        <w:t>Shelter+Care</w:t>
      </w:r>
      <w:r w:rsidR="003B2C21">
        <w:rPr>
          <w:rFonts w:cs="Arial"/>
        </w:rPr>
        <w:t>, Continuum of Care</w:t>
      </w:r>
      <w:r w:rsidR="00DC1ACB">
        <w:rPr>
          <w:rFonts w:cs="Arial"/>
        </w:rPr>
        <w:t xml:space="preserve"> and Rapid Rehousing funding supports approximately 900 </w:t>
      </w:r>
      <w:r w:rsidR="00F1744E">
        <w:rPr>
          <w:rFonts w:cs="Arial"/>
        </w:rPr>
        <w:t>units (or “Homeless Households”</w:t>
      </w:r>
      <w:r w:rsidR="00DC1ACB">
        <w:rPr>
          <w:rFonts w:cs="Arial"/>
        </w:rPr>
        <w:t xml:space="preserve">) </w:t>
      </w:r>
      <w:r w:rsidR="00DC1ACB">
        <w:rPr>
          <w:rFonts w:cs="Arial"/>
        </w:rPr>
        <w:lastRenderedPageBreak/>
        <w:t>annually</w:t>
      </w:r>
      <w:r w:rsidR="00F1744E">
        <w:rPr>
          <w:rFonts w:cs="Arial"/>
        </w:rPr>
        <w:t>, out of which 16 units are directly supported through Shelter Plus Care grants administered by the City</w:t>
      </w:r>
      <w:r w:rsidR="00DC1ACB">
        <w:rPr>
          <w:rFonts w:cs="Arial"/>
        </w:rPr>
        <w:t xml:space="preserve">.  </w:t>
      </w:r>
    </w:p>
    <w:p w:rsidR="00DC1ACB" w:rsidRDefault="00DC1ACB" w:rsidP="00FB67CF">
      <w:pPr>
        <w:rPr>
          <w:rFonts w:cs="Arial"/>
        </w:rPr>
      </w:pPr>
      <w:r>
        <w:rPr>
          <w:rFonts w:cs="Arial"/>
        </w:rPr>
        <w:t xml:space="preserve">The data reported in next goal of non-homeless households to be provided affordable housing units represents CDBG and AHTF funds </w:t>
      </w:r>
      <w:r w:rsidR="003B2C21">
        <w:rPr>
          <w:rFonts w:cs="Arial"/>
        </w:rPr>
        <w:t>that are used for</w:t>
      </w:r>
      <w:r>
        <w:rPr>
          <w:rFonts w:cs="Arial"/>
        </w:rPr>
        <w:t xml:space="preserve"> down payment assistance for households up to 80 percent AMI for CDBG.</w:t>
      </w:r>
      <w:r w:rsidR="009F00B3">
        <w:rPr>
          <w:rFonts w:cs="Arial"/>
        </w:rPr>
        <w:t xml:space="preserve">  </w:t>
      </w:r>
      <w:r w:rsidR="00E51EE4">
        <w:rPr>
          <w:rFonts w:cs="Arial"/>
        </w:rPr>
        <w:t xml:space="preserve"> The goal for the year was </w:t>
      </w:r>
      <w:r w:rsidR="001D1232">
        <w:rPr>
          <w:rFonts w:cs="Arial"/>
        </w:rPr>
        <w:t>12 and 31 were provided through the combined funding sources of entitlement funding and program income.</w:t>
      </w:r>
      <w:r w:rsidR="004E7BE9">
        <w:rPr>
          <w:rFonts w:cs="Arial"/>
        </w:rPr>
        <w:t xml:space="preserve"> The last one-year goal concerning special needs households is not referenced in the Consolidated Plan, so no actual goal is applicable.</w:t>
      </w:r>
    </w:p>
    <w:p w:rsidR="004E7BE9" w:rsidRDefault="004E7BE9" w:rsidP="00FB67CF">
      <w:pPr>
        <w:rPr>
          <w:rFonts w:cs="Arial"/>
        </w:rPr>
      </w:pPr>
      <w:r w:rsidRPr="004E7BE9">
        <w:rPr>
          <w:rFonts w:cs="Arial"/>
          <w:u w:val="single"/>
        </w:rPr>
        <w:t>Outcomes</w:t>
      </w:r>
      <w:r>
        <w:rPr>
          <w:rFonts w:cs="Arial"/>
        </w:rPr>
        <w:t xml:space="preserve">:  The </w:t>
      </w:r>
      <w:r w:rsidR="00A9693A">
        <w:rPr>
          <w:color w:val="000000"/>
        </w:rPr>
        <w:t>n</w:t>
      </w:r>
      <w:r>
        <w:rPr>
          <w:color w:val="000000"/>
        </w:rPr>
        <w:t xml:space="preserve">umber of households supported through </w:t>
      </w:r>
      <w:r w:rsidR="00A9693A">
        <w:rPr>
          <w:color w:val="000000"/>
        </w:rPr>
        <w:t>r</w:t>
      </w:r>
      <w:r>
        <w:rPr>
          <w:color w:val="000000"/>
        </w:rPr>
        <w:t xml:space="preserve">ental </w:t>
      </w:r>
      <w:r w:rsidR="00A9693A">
        <w:rPr>
          <w:color w:val="000000"/>
        </w:rPr>
        <w:t>a</w:t>
      </w:r>
      <w:r>
        <w:rPr>
          <w:color w:val="000000"/>
        </w:rPr>
        <w:t xml:space="preserve">ssistance was </w:t>
      </w:r>
      <w:r w:rsidR="00A9693A">
        <w:rPr>
          <w:color w:val="000000"/>
        </w:rPr>
        <w:t>substantially less than the prior years because six of the City’s HUD Continuum of Care grants were turned over to the subrecipients (Life</w:t>
      </w:r>
      <w:r>
        <w:rPr>
          <w:color w:val="000000"/>
        </w:rPr>
        <w:t xml:space="preserve"> </w:t>
      </w:r>
      <w:r w:rsidR="00A9693A">
        <w:rPr>
          <w:color w:val="000000"/>
        </w:rPr>
        <w:t xml:space="preserve">Link and the Housing Trust). The City retained management of two of its </w:t>
      </w:r>
      <w:r>
        <w:rPr>
          <w:color w:val="000000"/>
        </w:rPr>
        <w:t xml:space="preserve">Shelter+Care </w:t>
      </w:r>
      <w:r w:rsidR="00A9693A">
        <w:rPr>
          <w:color w:val="000000"/>
        </w:rPr>
        <w:t xml:space="preserve">grants that will both complete their fifth year of funding during the upcoming fiscal year. </w:t>
      </w:r>
      <w:r w:rsidR="00D73976">
        <w:rPr>
          <w:color w:val="000000"/>
        </w:rPr>
        <w:t xml:space="preserve">Santa Fe Community Housing Trust </w:t>
      </w:r>
      <w:r w:rsidR="00A9693A">
        <w:rPr>
          <w:color w:val="000000"/>
        </w:rPr>
        <w:t xml:space="preserve">funds approx. 12 units at Stagecoach Apartments and Village Sage Apartments </w:t>
      </w:r>
      <w:r w:rsidR="00D73976">
        <w:rPr>
          <w:color w:val="000000"/>
        </w:rPr>
        <w:t>and St. Elizabeth’s Shelter</w:t>
      </w:r>
      <w:r w:rsidR="00A9693A">
        <w:rPr>
          <w:color w:val="000000"/>
        </w:rPr>
        <w:t xml:space="preserve"> supports four of its units at the Siringo Senior Apartments</w:t>
      </w:r>
      <w:r w:rsidR="00D73976">
        <w:rPr>
          <w:color w:val="000000"/>
        </w:rPr>
        <w:t>.</w:t>
      </w:r>
    </w:p>
    <w:p w:rsidR="00667C28" w:rsidRDefault="005C6824" w:rsidP="00FB67CF">
      <w:pPr>
        <w:rPr>
          <w:rFonts w:cs="Arial"/>
        </w:rPr>
      </w:pPr>
      <w:r>
        <w:rPr>
          <w:rFonts w:cs="Arial"/>
        </w:rPr>
        <w:t xml:space="preserve">This </w:t>
      </w:r>
      <w:r w:rsidR="00D73976">
        <w:rPr>
          <w:rFonts w:cs="Arial"/>
        </w:rPr>
        <w:t>next outcome</w:t>
      </w:r>
      <w:r>
        <w:rPr>
          <w:rFonts w:cs="Arial"/>
        </w:rPr>
        <w:t xml:space="preserve"> is represented in the total number of households supp</w:t>
      </w:r>
      <w:r w:rsidR="005716CD">
        <w:rPr>
          <w:rFonts w:cs="Arial"/>
        </w:rPr>
        <w:t xml:space="preserve">orted through rehab of existing, owner-occupied </w:t>
      </w:r>
      <w:r>
        <w:rPr>
          <w:rFonts w:cs="Arial"/>
        </w:rPr>
        <w:t>units</w:t>
      </w:r>
      <w:r w:rsidR="00D73976">
        <w:rPr>
          <w:rFonts w:cs="Arial"/>
        </w:rPr>
        <w:t xml:space="preserve"> funded by CDBG and AHTF</w:t>
      </w:r>
      <w:r>
        <w:rPr>
          <w:rFonts w:cs="Arial"/>
        </w:rPr>
        <w:t xml:space="preserve">.  The </w:t>
      </w:r>
      <w:r w:rsidR="006A5429">
        <w:rPr>
          <w:rFonts w:cs="Arial"/>
        </w:rPr>
        <w:t>Consolidated Plan cite</w:t>
      </w:r>
      <w:r w:rsidR="00A9693A">
        <w:rPr>
          <w:rFonts w:cs="Arial"/>
        </w:rPr>
        <w:t xml:space="preserve">s </w:t>
      </w:r>
      <w:r w:rsidR="006A5429">
        <w:rPr>
          <w:rFonts w:cs="Arial"/>
        </w:rPr>
        <w:t>a one year goal of 10 units.  Three contracts were administered</w:t>
      </w:r>
      <w:r w:rsidR="00A9693A">
        <w:rPr>
          <w:rFonts w:cs="Arial"/>
        </w:rPr>
        <w:t xml:space="preserve"> by the City: two with</w:t>
      </w:r>
      <w:r w:rsidR="006A5429">
        <w:rPr>
          <w:rFonts w:cs="Arial"/>
        </w:rPr>
        <w:t xml:space="preserve"> Homewise and </w:t>
      </w:r>
      <w:r w:rsidR="005716CD">
        <w:rPr>
          <w:rFonts w:cs="Arial"/>
        </w:rPr>
        <w:t xml:space="preserve">one with </w:t>
      </w:r>
      <w:r w:rsidR="006A5429">
        <w:rPr>
          <w:rFonts w:cs="Arial"/>
        </w:rPr>
        <w:t>Habitat for Humanity</w:t>
      </w:r>
      <w:r w:rsidR="005716CD">
        <w:rPr>
          <w:rFonts w:cs="Arial"/>
        </w:rPr>
        <w:t xml:space="preserve"> </w:t>
      </w:r>
      <w:r w:rsidR="005A3664">
        <w:rPr>
          <w:rFonts w:cs="Arial"/>
        </w:rPr>
        <w:t>a total</w:t>
      </w:r>
      <w:r w:rsidR="006A5429">
        <w:rPr>
          <w:rFonts w:cs="Arial"/>
        </w:rPr>
        <w:t xml:space="preserve"> goal of 1</w:t>
      </w:r>
      <w:r w:rsidR="008E688F">
        <w:rPr>
          <w:rFonts w:cs="Arial"/>
        </w:rPr>
        <w:t>5</w:t>
      </w:r>
      <w:r w:rsidR="006A5429">
        <w:rPr>
          <w:rFonts w:cs="Arial"/>
        </w:rPr>
        <w:t xml:space="preserve"> homes.  This outcome was exceeded with a total of </w:t>
      </w:r>
      <w:r w:rsidR="008E688F">
        <w:rPr>
          <w:rFonts w:cs="Arial"/>
        </w:rPr>
        <w:t>31</w:t>
      </w:r>
      <w:r w:rsidR="006A5429">
        <w:rPr>
          <w:rFonts w:cs="Arial"/>
        </w:rPr>
        <w:t xml:space="preserve"> homes rehabilitated, primarily by Habitat for Humanity, as there was a high demand for this service from low-income senior households </w:t>
      </w:r>
      <w:r w:rsidR="005A3664">
        <w:rPr>
          <w:rFonts w:cs="Arial"/>
        </w:rPr>
        <w:t>with most</w:t>
      </w:r>
      <w:r w:rsidR="006A5429">
        <w:rPr>
          <w:rFonts w:cs="Arial"/>
        </w:rPr>
        <w:t xml:space="preserve"> under 60 percent AMI.</w:t>
      </w:r>
    </w:p>
    <w:p w:rsidR="006D7C8A" w:rsidRDefault="006D7C8A" w:rsidP="00FB67CF">
      <w:pPr>
        <w:rPr>
          <w:color w:val="000000"/>
        </w:rPr>
      </w:pPr>
      <w:r>
        <w:rPr>
          <w:color w:val="000000"/>
        </w:rPr>
        <w:t>CDBG funds were not allocated for special needs households in the 201</w:t>
      </w:r>
      <w:r w:rsidR="008E688F">
        <w:rPr>
          <w:color w:val="000000"/>
        </w:rPr>
        <w:t>6</w:t>
      </w:r>
      <w:r>
        <w:rPr>
          <w:color w:val="000000"/>
        </w:rPr>
        <w:t xml:space="preserve"> program year.</w:t>
      </w:r>
    </w:p>
    <w:p w:rsidR="00667C28" w:rsidRDefault="007137DF">
      <w:pPr>
        <w:widowControl w:val="0"/>
        <w:spacing w:line="204" w:lineRule="auto"/>
        <w:rPr>
          <w:b/>
          <w:sz w:val="24"/>
          <w:szCs w:val="24"/>
        </w:rPr>
      </w:pPr>
      <w:r>
        <w:rPr>
          <w:b/>
          <w:sz w:val="24"/>
          <w:szCs w:val="24"/>
        </w:rPr>
        <w:t>Discuss how these outcomes will impact future annual action plans.</w:t>
      </w:r>
    </w:p>
    <w:p w:rsidR="001D1232" w:rsidRDefault="001F66DB">
      <w:pPr>
        <w:rPr>
          <w:rFonts w:cs="Arial"/>
        </w:rPr>
      </w:pPr>
      <w:r>
        <w:rPr>
          <w:rFonts w:cs="Arial"/>
        </w:rPr>
        <w:t>Outcomes will certainly impact future CDBG and AHTF funding allocation considerations from down payment assistance</w:t>
      </w:r>
      <w:r w:rsidR="001A2DAD">
        <w:rPr>
          <w:rFonts w:cs="Arial"/>
        </w:rPr>
        <w:t xml:space="preserve"> and public</w:t>
      </w:r>
      <w:r w:rsidR="00887488">
        <w:rPr>
          <w:rFonts w:cs="Arial"/>
        </w:rPr>
        <w:t xml:space="preserve"> facility improvements,</w:t>
      </w:r>
      <w:r w:rsidR="00131A35">
        <w:rPr>
          <w:rFonts w:cs="Arial"/>
        </w:rPr>
        <w:t xml:space="preserve"> </w:t>
      </w:r>
      <w:r>
        <w:rPr>
          <w:rFonts w:cs="Arial"/>
        </w:rPr>
        <w:t>to emerging needs for rental assistance of all categories</w:t>
      </w:r>
      <w:r w:rsidR="003B1D6E">
        <w:rPr>
          <w:rFonts w:cs="Arial"/>
        </w:rPr>
        <w:t>, such as emergency</w:t>
      </w:r>
      <w:r w:rsidR="001A2DAD">
        <w:rPr>
          <w:rFonts w:cs="Arial"/>
        </w:rPr>
        <w:t xml:space="preserve"> assistance</w:t>
      </w:r>
      <w:r w:rsidR="003B1D6E">
        <w:rPr>
          <w:rFonts w:cs="Arial"/>
        </w:rPr>
        <w:t xml:space="preserve"> for battered households, </w:t>
      </w:r>
      <w:r>
        <w:rPr>
          <w:rFonts w:cs="Arial"/>
        </w:rPr>
        <w:t>special needs, homelessness prevention,</w:t>
      </w:r>
      <w:r w:rsidR="003B1D6E">
        <w:rPr>
          <w:rFonts w:cs="Arial"/>
        </w:rPr>
        <w:t xml:space="preserve"> and</w:t>
      </w:r>
      <w:r>
        <w:rPr>
          <w:rFonts w:cs="Arial"/>
        </w:rPr>
        <w:t xml:space="preserve"> rapid rehousing</w:t>
      </w:r>
      <w:r w:rsidR="003B1D6E">
        <w:rPr>
          <w:rFonts w:cs="Arial"/>
        </w:rPr>
        <w:t>.</w:t>
      </w:r>
      <w:r w:rsidR="001A2DAD">
        <w:rPr>
          <w:rFonts w:cs="Arial"/>
        </w:rPr>
        <w:t xml:space="preserve">  Depending on the future award and timing of LIHTC for rental housing projects, CDBG funds will be </w:t>
      </w:r>
      <w:r w:rsidR="00C70DEC">
        <w:rPr>
          <w:rFonts w:cs="Arial"/>
        </w:rPr>
        <w:t xml:space="preserve">aligned with LIHTC-awarded projects, and </w:t>
      </w:r>
      <w:r w:rsidR="001A2DAD">
        <w:rPr>
          <w:rFonts w:cs="Arial"/>
        </w:rPr>
        <w:t>geared towards supporting these projects for land acquisition, rehabilitation, or other eligible expenses.</w:t>
      </w:r>
      <w:r w:rsidR="001D1232">
        <w:rPr>
          <w:rFonts w:cs="Arial"/>
        </w:rPr>
        <w:br w:type="page"/>
      </w:r>
    </w:p>
    <w:p w:rsidR="00667C28" w:rsidRDefault="00667C28">
      <w:pPr>
        <w:rPr>
          <w:rFonts w:cs="Arial"/>
        </w:rPr>
      </w:pPr>
    </w:p>
    <w:p w:rsidR="00667C28" w:rsidRDefault="007137DF">
      <w:pPr>
        <w:keepNext/>
        <w:widowControl w:val="0"/>
        <w:spacing w:line="204" w:lineRule="auto"/>
        <w:rPr>
          <w:b/>
          <w:sz w:val="24"/>
          <w:szCs w:val="24"/>
        </w:rPr>
      </w:pPr>
      <w:r>
        <w:rPr>
          <w:b/>
          <w:sz w:val="24"/>
          <w:szCs w:val="24"/>
        </w:rPr>
        <w:t>Include the number of extremely low-income, low-income, and moderate-income persons served by each activity where information on income by family size is required to determine the eligibility of the activity.</w:t>
      </w:r>
    </w:p>
    <w:tbl>
      <w:tblPr>
        <w:tblW w:w="4738"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747"/>
        <w:gridCol w:w="4340"/>
      </w:tblGrid>
      <w:tr w:rsidR="00887488" w:rsidTr="00887488">
        <w:trPr>
          <w:cantSplit/>
          <w:trHeight w:val="265"/>
        </w:trPr>
        <w:tc>
          <w:tcPr>
            <w:tcW w:w="4747" w:type="dxa"/>
          </w:tcPr>
          <w:p w:rsidR="00887488" w:rsidRDefault="00887488">
            <w:pPr>
              <w:keepNext/>
              <w:widowControl w:val="0"/>
              <w:spacing w:after="0" w:line="240" w:lineRule="auto"/>
              <w:jc w:val="center"/>
              <w:rPr>
                <w:b/>
              </w:rPr>
            </w:pPr>
            <w:r>
              <w:rPr>
                <w:b/>
              </w:rPr>
              <w:t>Number  of Persons Served</w:t>
            </w:r>
          </w:p>
        </w:tc>
        <w:tc>
          <w:tcPr>
            <w:tcW w:w="4340" w:type="dxa"/>
          </w:tcPr>
          <w:p w:rsidR="00887488" w:rsidRDefault="00887488">
            <w:pPr>
              <w:keepNext/>
              <w:widowControl w:val="0"/>
              <w:spacing w:after="0" w:line="240" w:lineRule="auto"/>
              <w:jc w:val="center"/>
              <w:rPr>
                <w:b/>
              </w:rPr>
            </w:pPr>
            <w:r>
              <w:rPr>
                <w:b/>
              </w:rPr>
              <w:t>CDBG Actual</w:t>
            </w:r>
          </w:p>
        </w:tc>
      </w:tr>
      <w:tr w:rsidR="00887488" w:rsidTr="00887488">
        <w:trPr>
          <w:cantSplit/>
          <w:trHeight w:val="294"/>
        </w:trPr>
        <w:tc>
          <w:tcPr>
            <w:tcW w:w="4747" w:type="dxa"/>
            <w:vAlign w:val="bottom"/>
          </w:tcPr>
          <w:p w:rsidR="00887488" w:rsidRDefault="00887488">
            <w:pPr>
              <w:spacing w:beforeAutospacing="1" w:afterAutospacing="1"/>
            </w:pPr>
            <w:r>
              <w:rPr>
                <w:color w:val="000000"/>
              </w:rPr>
              <w:t>Extremely Low-income</w:t>
            </w:r>
          </w:p>
        </w:tc>
        <w:tc>
          <w:tcPr>
            <w:tcW w:w="4340" w:type="dxa"/>
            <w:vAlign w:val="bottom"/>
          </w:tcPr>
          <w:p w:rsidR="00887488" w:rsidRDefault="001D1232" w:rsidP="001D1232">
            <w:pPr>
              <w:spacing w:before="100" w:beforeAutospacing="1" w:after="100" w:afterAutospacing="1"/>
              <w:jc w:val="right"/>
            </w:pPr>
            <w:r>
              <w:t>2</w:t>
            </w:r>
            <w:r w:rsidR="00F86726">
              <w:t>,</w:t>
            </w:r>
            <w:r>
              <w:t>116</w:t>
            </w:r>
          </w:p>
        </w:tc>
      </w:tr>
      <w:tr w:rsidR="00887488" w:rsidTr="00887488">
        <w:trPr>
          <w:cantSplit/>
          <w:trHeight w:val="294"/>
        </w:trPr>
        <w:tc>
          <w:tcPr>
            <w:tcW w:w="4747" w:type="dxa"/>
            <w:vAlign w:val="bottom"/>
          </w:tcPr>
          <w:p w:rsidR="00887488" w:rsidRDefault="00887488">
            <w:pPr>
              <w:spacing w:beforeAutospacing="1" w:afterAutospacing="1"/>
            </w:pPr>
            <w:r>
              <w:rPr>
                <w:color w:val="000000"/>
              </w:rPr>
              <w:t>Low-income</w:t>
            </w:r>
          </w:p>
        </w:tc>
        <w:tc>
          <w:tcPr>
            <w:tcW w:w="4340" w:type="dxa"/>
            <w:vAlign w:val="bottom"/>
          </w:tcPr>
          <w:p w:rsidR="00887488" w:rsidRDefault="001D1232" w:rsidP="003D2A74">
            <w:pPr>
              <w:spacing w:before="100" w:beforeAutospacing="1" w:after="100" w:afterAutospacing="1"/>
              <w:jc w:val="right"/>
            </w:pPr>
            <w:r>
              <w:t>157</w:t>
            </w:r>
          </w:p>
        </w:tc>
      </w:tr>
      <w:tr w:rsidR="00887488" w:rsidTr="00887488">
        <w:trPr>
          <w:cantSplit/>
          <w:trHeight w:val="309"/>
        </w:trPr>
        <w:tc>
          <w:tcPr>
            <w:tcW w:w="4747" w:type="dxa"/>
            <w:vAlign w:val="bottom"/>
          </w:tcPr>
          <w:p w:rsidR="00887488" w:rsidRDefault="00887488">
            <w:pPr>
              <w:spacing w:beforeAutospacing="1" w:afterAutospacing="1"/>
            </w:pPr>
            <w:r>
              <w:rPr>
                <w:color w:val="000000"/>
              </w:rPr>
              <w:t>Moderate-income</w:t>
            </w:r>
          </w:p>
        </w:tc>
        <w:tc>
          <w:tcPr>
            <w:tcW w:w="4340" w:type="dxa"/>
            <w:vAlign w:val="bottom"/>
          </w:tcPr>
          <w:p w:rsidR="00887488" w:rsidRDefault="001D1232">
            <w:pPr>
              <w:spacing w:beforeAutospacing="1" w:afterAutospacing="1"/>
              <w:jc w:val="right"/>
            </w:pPr>
            <w:r>
              <w:t>75</w:t>
            </w:r>
          </w:p>
        </w:tc>
      </w:tr>
      <w:tr w:rsidR="008454AB" w:rsidTr="00887488">
        <w:trPr>
          <w:cantSplit/>
          <w:trHeight w:val="309"/>
        </w:trPr>
        <w:tc>
          <w:tcPr>
            <w:tcW w:w="4747" w:type="dxa"/>
            <w:vAlign w:val="bottom"/>
          </w:tcPr>
          <w:p w:rsidR="008454AB" w:rsidRDefault="008454AB">
            <w:pPr>
              <w:spacing w:beforeAutospacing="1" w:afterAutospacing="1"/>
              <w:rPr>
                <w:color w:val="000000"/>
              </w:rPr>
            </w:pPr>
            <w:r>
              <w:rPr>
                <w:color w:val="000000"/>
              </w:rPr>
              <w:t>Non low-moderate income</w:t>
            </w:r>
          </w:p>
        </w:tc>
        <w:tc>
          <w:tcPr>
            <w:tcW w:w="4340" w:type="dxa"/>
            <w:vAlign w:val="bottom"/>
          </w:tcPr>
          <w:p w:rsidR="008454AB" w:rsidRDefault="001D1232" w:rsidP="001D1232">
            <w:pPr>
              <w:spacing w:beforeAutospacing="1" w:afterAutospacing="1"/>
              <w:jc w:val="right"/>
            </w:pPr>
            <w:r>
              <w:t>21</w:t>
            </w:r>
          </w:p>
        </w:tc>
      </w:tr>
      <w:tr w:rsidR="00887488" w:rsidTr="00887488">
        <w:trPr>
          <w:cantSplit/>
          <w:trHeight w:val="309"/>
        </w:trPr>
        <w:tc>
          <w:tcPr>
            <w:tcW w:w="4747" w:type="dxa"/>
            <w:vAlign w:val="bottom"/>
          </w:tcPr>
          <w:p w:rsidR="00887488" w:rsidRDefault="00887488">
            <w:pPr>
              <w:spacing w:beforeAutospacing="1" w:afterAutospacing="1"/>
            </w:pPr>
            <w:r>
              <w:rPr>
                <w:b/>
                <w:color w:val="000000"/>
              </w:rPr>
              <w:t>Total</w:t>
            </w:r>
          </w:p>
        </w:tc>
        <w:tc>
          <w:tcPr>
            <w:tcW w:w="4340" w:type="dxa"/>
            <w:vAlign w:val="bottom"/>
          </w:tcPr>
          <w:p w:rsidR="00887488" w:rsidRPr="000A4A92" w:rsidRDefault="00C70DEC" w:rsidP="001D1232">
            <w:pPr>
              <w:spacing w:beforeAutospacing="1" w:afterAutospacing="1"/>
              <w:jc w:val="right"/>
              <w:rPr>
                <w:b/>
              </w:rPr>
            </w:pPr>
            <w:r>
              <w:rPr>
                <w:b/>
              </w:rPr>
              <w:t>2,</w:t>
            </w:r>
            <w:r w:rsidR="001D1232">
              <w:rPr>
                <w:b/>
              </w:rPr>
              <w:t>369</w:t>
            </w:r>
          </w:p>
        </w:tc>
      </w:tr>
    </w:tbl>
    <w:p w:rsidR="00667C28" w:rsidRPr="00887488" w:rsidRDefault="007137DF">
      <w:pPr>
        <w:pStyle w:val="Caption"/>
        <w:jc w:val="center"/>
        <w:rPr>
          <w:rFonts w:asciiTheme="minorHAnsi" w:hAnsiTheme="minorHAnsi"/>
          <w:sz w:val="22"/>
          <w:szCs w:val="22"/>
        </w:rPr>
      </w:pPr>
      <w:r w:rsidRPr="00887488">
        <w:rPr>
          <w:rFonts w:asciiTheme="minorHAnsi" w:hAnsiTheme="minorHAnsi"/>
          <w:i/>
          <w:sz w:val="22"/>
          <w:szCs w:val="22"/>
        </w:rPr>
        <w:t xml:space="preserve">Table </w:t>
      </w:r>
      <w:r w:rsidR="00887488" w:rsidRPr="00887488">
        <w:rPr>
          <w:rFonts w:asciiTheme="minorHAnsi" w:hAnsiTheme="minorHAnsi"/>
          <w:i/>
          <w:sz w:val="22"/>
          <w:szCs w:val="22"/>
        </w:rPr>
        <w:t>9</w:t>
      </w:r>
      <w:r w:rsidRPr="00887488">
        <w:rPr>
          <w:rFonts w:asciiTheme="minorHAnsi" w:hAnsiTheme="minorHAnsi"/>
          <w:sz w:val="22"/>
          <w:szCs w:val="22"/>
        </w:rPr>
        <w:t xml:space="preserve"> – Number of Persons Served</w:t>
      </w:r>
    </w:p>
    <w:p w:rsidR="00667C28" w:rsidRDefault="00667C28" w:rsidP="005716CD">
      <w:pPr>
        <w:widowControl w:val="0"/>
        <w:spacing w:after="0" w:line="204" w:lineRule="auto"/>
        <w:rPr>
          <w:b/>
          <w:sz w:val="24"/>
          <w:szCs w:val="24"/>
        </w:rPr>
      </w:pPr>
    </w:p>
    <w:p w:rsidR="005716CD" w:rsidRDefault="00FE4360" w:rsidP="005716CD">
      <w:pPr>
        <w:widowControl w:val="0"/>
        <w:rPr>
          <w:rFonts w:asciiTheme="minorHAnsi" w:hAnsiTheme="minorHAnsi"/>
          <w:color w:val="000000"/>
          <w:shd w:val="clear" w:color="auto" w:fill="FFFFFF"/>
        </w:rPr>
        <w:sectPr w:rsidR="005716CD" w:rsidSect="00C5665B">
          <w:pgSz w:w="12240" w:h="15840" w:code="1"/>
          <w:pgMar w:top="1440" w:right="1440" w:bottom="1440" w:left="1440" w:header="720" w:footer="720" w:gutter="0"/>
          <w:cols w:space="720"/>
          <w:docGrid w:linePitch="360"/>
        </w:sectPr>
      </w:pPr>
      <w:r w:rsidRPr="005716CD">
        <w:rPr>
          <w:rFonts w:asciiTheme="minorHAnsi" w:hAnsiTheme="minorHAnsi"/>
          <w:color w:val="000000"/>
          <w:shd w:val="clear" w:color="auto" w:fill="FFFFFF"/>
        </w:rPr>
        <w:t xml:space="preserve">A total of </w:t>
      </w:r>
      <w:r w:rsidR="001D1232">
        <w:rPr>
          <w:rFonts w:asciiTheme="minorHAnsi" w:hAnsiTheme="minorHAnsi"/>
          <w:color w:val="000000"/>
          <w:shd w:val="clear" w:color="auto" w:fill="FFFFFF"/>
        </w:rPr>
        <w:t>2,369</w:t>
      </w:r>
      <w:r w:rsidRPr="005716CD">
        <w:rPr>
          <w:rFonts w:asciiTheme="minorHAnsi" w:hAnsiTheme="minorHAnsi"/>
          <w:color w:val="000000"/>
          <w:shd w:val="clear" w:color="auto" w:fill="FFFFFF"/>
        </w:rPr>
        <w:t xml:space="preserve"> persons were served, of which </w:t>
      </w:r>
      <w:r w:rsidR="001D1232">
        <w:rPr>
          <w:rFonts w:asciiTheme="minorHAnsi" w:hAnsiTheme="minorHAnsi"/>
          <w:color w:val="000000"/>
          <w:shd w:val="clear" w:color="auto" w:fill="FFFFFF"/>
        </w:rPr>
        <w:t>2,348</w:t>
      </w:r>
      <w:r w:rsidRPr="005716CD">
        <w:rPr>
          <w:rFonts w:asciiTheme="minorHAnsi" w:hAnsiTheme="minorHAnsi"/>
          <w:color w:val="000000"/>
          <w:shd w:val="clear" w:color="auto" w:fill="FFFFFF"/>
        </w:rPr>
        <w:t xml:space="preserve"> or </w:t>
      </w:r>
      <w:r w:rsidR="001D1232">
        <w:rPr>
          <w:rFonts w:asciiTheme="minorHAnsi" w:hAnsiTheme="minorHAnsi"/>
          <w:color w:val="000000"/>
          <w:shd w:val="clear" w:color="auto" w:fill="FFFFFF"/>
        </w:rPr>
        <w:t>99</w:t>
      </w:r>
      <w:r w:rsidR="005716CD">
        <w:rPr>
          <w:rFonts w:asciiTheme="minorHAnsi" w:hAnsiTheme="minorHAnsi"/>
          <w:color w:val="000000"/>
          <w:shd w:val="clear" w:color="auto" w:fill="FFFFFF"/>
        </w:rPr>
        <w:t xml:space="preserve">% were below 80% </w:t>
      </w:r>
      <w:r w:rsidRPr="005716CD">
        <w:rPr>
          <w:rFonts w:asciiTheme="minorHAnsi" w:hAnsiTheme="minorHAnsi"/>
          <w:color w:val="000000"/>
          <w:shd w:val="clear" w:color="auto" w:fill="FFFFFF"/>
        </w:rPr>
        <w:t xml:space="preserve">of </w:t>
      </w:r>
      <w:r w:rsidR="005716CD">
        <w:rPr>
          <w:rFonts w:asciiTheme="minorHAnsi" w:hAnsiTheme="minorHAnsi"/>
          <w:color w:val="000000"/>
          <w:shd w:val="clear" w:color="auto" w:fill="FFFFFF"/>
        </w:rPr>
        <w:t>Area Median Income (AMI)</w:t>
      </w:r>
    </w:p>
    <w:p w:rsidR="00667C28" w:rsidRDefault="007137DF">
      <w:pPr>
        <w:pStyle w:val="Heading2"/>
        <w:pageBreakBefore/>
        <w:widowControl w:val="0"/>
        <w:rPr>
          <w:rFonts w:ascii="Calibri" w:hAnsi="Calibri"/>
          <w:i w:val="0"/>
        </w:rPr>
      </w:pPr>
      <w:bookmarkStart w:id="7" w:name="_Toc426364867"/>
      <w:bookmarkEnd w:id="6"/>
      <w:r>
        <w:rPr>
          <w:rFonts w:ascii="Calibri" w:hAnsi="Calibri"/>
          <w:i w:val="0"/>
        </w:rPr>
        <w:lastRenderedPageBreak/>
        <w:t>CR-25 - Homeless and Other Special Needs 91.220(d, e); 91.320(d, e); 91.520(c)</w:t>
      </w:r>
      <w:bookmarkEnd w:id="7"/>
    </w:p>
    <w:p w:rsidR="00667C28" w:rsidRDefault="007137DF">
      <w:pPr>
        <w:keepNext/>
        <w:widowControl w:val="0"/>
        <w:rPr>
          <w:b/>
          <w:sz w:val="24"/>
          <w:szCs w:val="24"/>
        </w:rPr>
      </w:pPr>
      <w:r>
        <w:rPr>
          <w:b/>
          <w:sz w:val="24"/>
          <w:szCs w:val="24"/>
        </w:rPr>
        <w:t>Evaluate the jurisdiction’s progress in meeting its specific objectives for reducing and ending homelessness through:</w:t>
      </w:r>
    </w:p>
    <w:p w:rsidR="00667C28" w:rsidRDefault="007137DF">
      <w:pPr>
        <w:widowControl w:val="0"/>
        <w:rPr>
          <w:b/>
          <w:sz w:val="24"/>
          <w:szCs w:val="24"/>
        </w:rPr>
      </w:pPr>
      <w:r>
        <w:rPr>
          <w:b/>
          <w:sz w:val="24"/>
          <w:szCs w:val="24"/>
        </w:rPr>
        <w:t>Reaching out to homeless persons (especially unsheltered persons) and assessing their individual needs</w:t>
      </w:r>
      <w:r w:rsidR="00061A16">
        <w:rPr>
          <w:b/>
          <w:sz w:val="24"/>
          <w:szCs w:val="24"/>
        </w:rPr>
        <w:t>:</w:t>
      </w:r>
      <w:r w:rsidR="000346A2">
        <w:rPr>
          <w:b/>
          <w:sz w:val="24"/>
          <w:szCs w:val="24"/>
        </w:rPr>
        <w:t xml:space="preserve"> </w:t>
      </w:r>
    </w:p>
    <w:p w:rsidR="00061A16" w:rsidRPr="005716CD" w:rsidRDefault="00061A16" w:rsidP="0069718C">
      <w:pPr>
        <w:keepNext/>
        <w:widowControl w:val="0"/>
        <w:rPr>
          <w:rFonts w:asciiTheme="minorHAnsi" w:hAnsiTheme="minorHAnsi" w:cs="Arial"/>
        </w:rPr>
      </w:pPr>
      <w:r w:rsidRPr="005716CD">
        <w:rPr>
          <w:rFonts w:asciiTheme="minorHAnsi" w:hAnsiTheme="minorHAnsi"/>
        </w:rPr>
        <w:t>For direct street outreach,</w:t>
      </w:r>
      <w:r w:rsidRPr="005716CD">
        <w:rPr>
          <w:rFonts w:asciiTheme="minorHAnsi" w:hAnsiTheme="minorHAnsi" w:cs="Arial"/>
          <w:b/>
        </w:rPr>
        <w:t xml:space="preserve"> </w:t>
      </w:r>
      <w:r w:rsidRPr="005716CD">
        <w:rPr>
          <w:rFonts w:asciiTheme="minorHAnsi" w:hAnsiTheme="minorHAnsi" w:cs="Arial"/>
        </w:rPr>
        <w:t>Youth Shelters and Family Services provides to areas where youth congregate.  On any given night, the organization estimates that 100 youth may be homeless on the streets of Santa Fe. In addition to street outreach, services provided to homeless youth include</w:t>
      </w:r>
      <w:r w:rsidR="00EE2202" w:rsidRPr="005716CD">
        <w:rPr>
          <w:rFonts w:asciiTheme="minorHAnsi" w:hAnsiTheme="minorHAnsi" w:cs="Arial"/>
        </w:rPr>
        <w:t xml:space="preserve"> an </w:t>
      </w:r>
      <w:r w:rsidRPr="005716CD">
        <w:rPr>
          <w:rFonts w:asciiTheme="minorHAnsi" w:hAnsiTheme="minorHAnsi" w:cs="Arial"/>
        </w:rPr>
        <w:t>emergency shelter</w:t>
      </w:r>
      <w:r w:rsidR="00EE2202" w:rsidRPr="005716CD">
        <w:rPr>
          <w:rFonts w:asciiTheme="minorHAnsi" w:hAnsiTheme="minorHAnsi" w:cs="Arial"/>
        </w:rPr>
        <w:t xml:space="preserve"> serving youth ages 10-17 </w:t>
      </w:r>
      <w:r w:rsidR="007E35DA" w:rsidRPr="005716CD">
        <w:rPr>
          <w:rFonts w:asciiTheme="minorHAnsi" w:hAnsiTheme="minorHAnsi" w:cs="Arial"/>
        </w:rPr>
        <w:t>that</w:t>
      </w:r>
      <w:r w:rsidR="00EE2202" w:rsidRPr="005716CD">
        <w:rPr>
          <w:rFonts w:asciiTheme="minorHAnsi" w:hAnsiTheme="minorHAnsi" w:cs="Arial"/>
        </w:rPr>
        <w:t xml:space="preserve"> can stay up to 90 days.  YSFS also offers</w:t>
      </w:r>
      <w:r w:rsidRPr="005716CD">
        <w:rPr>
          <w:rFonts w:asciiTheme="minorHAnsi" w:hAnsiTheme="minorHAnsi" w:cs="Arial"/>
        </w:rPr>
        <w:t xml:space="preserve"> transitional living and counseling. Special initiatives are the Pregnant and Parenting Project, including referrals, case management, parenting skills and donated items and the ACCESS Program, which helps youth with job readiness skills. Youth can stay at the emergency shelter for up to 30 days and in the transitional, apartment style living program for 18 months.</w:t>
      </w:r>
    </w:p>
    <w:p w:rsidR="00667C28" w:rsidRDefault="007137DF">
      <w:pPr>
        <w:widowControl w:val="0"/>
        <w:rPr>
          <w:b/>
          <w:sz w:val="24"/>
          <w:szCs w:val="24"/>
        </w:rPr>
      </w:pPr>
      <w:r>
        <w:rPr>
          <w:b/>
          <w:sz w:val="24"/>
          <w:szCs w:val="24"/>
        </w:rPr>
        <w:t>Addressing the emergency shelter and transitional housing needs of homeless persons</w:t>
      </w:r>
      <w:r w:rsidR="00061A16">
        <w:rPr>
          <w:b/>
          <w:sz w:val="24"/>
          <w:szCs w:val="24"/>
        </w:rPr>
        <w:t>:</w:t>
      </w:r>
    </w:p>
    <w:p w:rsidR="00061A16" w:rsidRDefault="00061A16" w:rsidP="001D1232">
      <w:pPr>
        <w:keepNext/>
        <w:widowControl w:val="0"/>
        <w:spacing w:before="100" w:beforeAutospacing="1" w:after="100" w:afterAutospacing="1"/>
        <w:rPr>
          <w:rFonts w:cs="Arial"/>
        </w:rPr>
      </w:pPr>
      <w:r>
        <w:rPr>
          <w:rFonts w:cs="Arial"/>
          <w:b/>
        </w:rPr>
        <w:t xml:space="preserve"> St. Elizabeth. </w:t>
      </w:r>
      <w:r>
        <w:rPr>
          <w:rFonts w:cs="Arial"/>
        </w:rPr>
        <w:t>St. Elizabeth Shelter operates two emergency shelters</w:t>
      </w:r>
      <w:r w:rsidR="00967137">
        <w:rPr>
          <w:rFonts w:cs="Arial"/>
        </w:rPr>
        <w:t>, one two-year transitional supportive housing program and two permanent supportive housing programs.</w:t>
      </w:r>
      <w:r>
        <w:rPr>
          <w:rFonts w:cs="Arial"/>
        </w:rPr>
        <w:t xml:space="preserve"> Its Men’s Emergency Shelter has 28 year-round beds along with a library, TV room, laundry, showers and intensive case management. The organization also offers longer term and transitional shelter options. </w:t>
      </w:r>
      <w:r>
        <w:rPr>
          <w:rFonts w:cs="Arial"/>
          <w:i/>
        </w:rPr>
        <w:t xml:space="preserve">Casa </w:t>
      </w:r>
      <w:r w:rsidR="00967137">
        <w:rPr>
          <w:rFonts w:cs="Arial"/>
          <w:i/>
        </w:rPr>
        <w:t>Familia</w:t>
      </w:r>
      <w:r>
        <w:rPr>
          <w:rFonts w:cs="Arial"/>
          <w:i/>
        </w:rPr>
        <w:t xml:space="preserve"> </w:t>
      </w:r>
      <w:r>
        <w:rPr>
          <w:rFonts w:cs="Arial"/>
        </w:rPr>
        <w:t>has 10 beds for single women, eight rooms for individual families, and can accommodate up to 30 people, depending on</w:t>
      </w:r>
      <w:bookmarkStart w:id="8" w:name="_GoBack"/>
      <w:bookmarkEnd w:id="8"/>
      <w:r>
        <w:rPr>
          <w:rFonts w:cs="Arial"/>
        </w:rPr>
        <w:t xml:space="preserve"> family size. It also has a TV/play room, dining room, laundry and donations room where clothing and toys are available for guests.  Both emergency shelters provide respite care for those who are in need of a place to recover from illnesses and behavioral health issues and both have a program manager, case managers and supervisory staff.  </w:t>
      </w:r>
      <w:r>
        <w:rPr>
          <w:rFonts w:cs="Arial"/>
          <w:i/>
        </w:rPr>
        <w:t xml:space="preserve">Casa Cerrillos </w:t>
      </w:r>
      <w:r>
        <w:rPr>
          <w:rFonts w:cs="Arial"/>
        </w:rPr>
        <w:t> is a permanent housing program with 28 apartments for adults with disabilities, many with co-occurring substance abuse problems.  Siringo Apartment</w:t>
      </w:r>
      <w:r w:rsidR="007D3B2C">
        <w:rPr>
          <w:rFonts w:cs="Arial"/>
        </w:rPr>
        <w:t>s</w:t>
      </w:r>
      <w:r>
        <w:rPr>
          <w:rFonts w:cs="Arial"/>
        </w:rPr>
        <w:t xml:space="preserve"> is a permanent housing program with eight apartments for seniors.  </w:t>
      </w:r>
      <w:r>
        <w:rPr>
          <w:rFonts w:cs="Arial"/>
          <w:i/>
        </w:rPr>
        <w:t xml:space="preserve">Sonrisa Family Shelter is a transitional housing program </w:t>
      </w:r>
      <w:r>
        <w:rPr>
          <w:rFonts w:cs="Arial"/>
        </w:rPr>
        <w:t>with eight apartments for families with children.  It has a two-year stay limit within which time families are expected to have overcome the issues leading to their becoming homeless and have saved enough funds to successfully move in to housing of their own.    All three supportive housing programs have on-site program/case managers that work closely with each guest and monitor their progress.</w:t>
      </w:r>
    </w:p>
    <w:p w:rsidR="00061A16" w:rsidRDefault="00061A16" w:rsidP="00061A16">
      <w:pPr>
        <w:keepNext/>
        <w:widowControl w:val="0"/>
        <w:spacing w:beforeAutospacing="1" w:afterAutospacing="1"/>
        <w:rPr>
          <w:rFonts w:cs="Arial"/>
        </w:rPr>
      </w:pPr>
      <w:r>
        <w:rPr>
          <w:rFonts w:cs="Arial"/>
        </w:rPr>
        <w:t> </w:t>
      </w:r>
      <w:r w:rsidRPr="00521F43">
        <w:rPr>
          <w:rFonts w:cs="Arial"/>
          <w:b/>
        </w:rPr>
        <w:t>ROC/Interfaith Shelter.</w:t>
      </w:r>
      <w:r>
        <w:rPr>
          <w:rFonts w:cs="Arial"/>
          <w:b/>
        </w:rPr>
        <w:t xml:space="preserve"> </w:t>
      </w:r>
      <w:r>
        <w:rPr>
          <w:rFonts w:cs="Arial"/>
        </w:rPr>
        <w:t>Several faith based organizations support a seasonal shelter from November to May through meals, showers and laundry, in addition to beds and also some case management services. The Resource Opportunity Center is open two days per week, serves</w:t>
      </w:r>
      <w:r w:rsidR="00884B35">
        <w:rPr>
          <w:rFonts w:cs="Arial"/>
        </w:rPr>
        <w:t xml:space="preserve"> 120 to 140 people per day, </w:t>
      </w:r>
      <w:r w:rsidR="00EE268B">
        <w:rPr>
          <w:rFonts w:cs="Arial"/>
        </w:rPr>
        <w:t>and offers</w:t>
      </w:r>
      <w:r>
        <w:rPr>
          <w:rFonts w:cs="Arial"/>
        </w:rPr>
        <w:t xml:space="preserve"> more intensive case management and legal services.</w:t>
      </w:r>
    </w:p>
    <w:p w:rsidR="00061A16" w:rsidRDefault="00061A16" w:rsidP="00061A16">
      <w:pPr>
        <w:keepNext/>
        <w:widowControl w:val="0"/>
        <w:spacing w:beforeAutospacing="1" w:afterAutospacing="1"/>
        <w:rPr>
          <w:rFonts w:cs="Arial"/>
        </w:rPr>
      </w:pPr>
      <w:r w:rsidRPr="00F76370">
        <w:rPr>
          <w:rFonts w:cs="Arial"/>
          <w:b/>
        </w:rPr>
        <w:t xml:space="preserve">Life Link. </w:t>
      </w:r>
      <w:r w:rsidRPr="00F76370">
        <w:rPr>
          <w:rFonts w:cs="Arial"/>
        </w:rPr>
        <w:t xml:space="preserve">Established in 1987 in a motel, Life Link has evolved into a highly effective behavioral health </w:t>
      </w:r>
      <w:r w:rsidRPr="00F76370">
        <w:rPr>
          <w:rFonts w:cs="Arial"/>
        </w:rPr>
        <w:lastRenderedPageBreak/>
        <w:t xml:space="preserve">and supportive housing center. At </w:t>
      </w:r>
      <w:r w:rsidRPr="00F76370">
        <w:rPr>
          <w:rFonts w:cs="Arial"/>
          <w:i/>
        </w:rPr>
        <w:t>La Luz</w:t>
      </w:r>
      <w:r w:rsidRPr="00F76370">
        <w:rPr>
          <w:rFonts w:cs="Arial"/>
        </w:rPr>
        <w:t>, 24 apartment units and an addition</w:t>
      </w:r>
      <w:r>
        <w:rPr>
          <w:rFonts w:cs="Arial"/>
        </w:rPr>
        <w:t xml:space="preserve">al 74 City wide scattered-site </w:t>
      </w:r>
      <w:r w:rsidRPr="00F76370">
        <w:rPr>
          <w:rFonts w:cs="Arial"/>
        </w:rPr>
        <w:t>units are provided to people with mental illness and other co-occurring disorders, based on the permanent supportive housing model.  Life Link provides extensive outpatient treatment, pyscho-social rehabilitation, homeless prevention and rental assistance, peer support services and onsite healthcare screening.</w:t>
      </w:r>
      <w:r>
        <w:rPr>
          <w:rFonts w:cs="Arial"/>
        </w:rPr>
        <w:t xml:space="preserve"> </w:t>
      </w:r>
    </w:p>
    <w:p w:rsidR="00061A16" w:rsidRDefault="00061A16" w:rsidP="00061A16">
      <w:pPr>
        <w:keepNext/>
        <w:widowControl w:val="0"/>
        <w:spacing w:beforeAutospacing="1" w:afterAutospacing="1"/>
        <w:rPr>
          <w:rFonts w:cs="Arial"/>
        </w:rPr>
      </w:pPr>
      <w:r>
        <w:rPr>
          <w:rFonts w:cs="Arial"/>
          <w:b/>
        </w:rPr>
        <w:t>Esperanza</w:t>
      </w:r>
      <w:r>
        <w:rPr>
          <w:rFonts w:cs="Arial"/>
          <w:i/>
        </w:rPr>
        <w:t xml:space="preserve">. </w:t>
      </w:r>
      <w:r>
        <w:rPr>
          <w:rFonts w:cs="Arial"/>
        </w:rPr>
        <w:t>Esperanza is a full service organization offering counseling, case management and advocacy for survivors of domestic violence. It operates a shelter that can house up to 42 people, as well as 21 beds of transitional housing to allow clients establish independence while still receiving supportive services. The organization also offers comprehensive non-residential counseling services.</w:t>
      </w:r>
    </w:p>
    <w:p w:rsidR="005716CD" w:rsidRPr="002A4C6F" w:rsidRDefault="002A4C6F" w:rsidP="00061A16">
      <w:pPr>
        <w:keepNext/>
        <w:widowControl w:val="0"/>
        <w:spacing w:beforeAutospacing="1" w:afterAutospacing="1"/>
        <w:rPr>
          <w:rFonts w:cs="Arial"/>
        </w:rPr>
      </w:pPr>
      <w:r>
        <w:rPr>
          <w:rFonts w:cs="Arial"/>
          <w:b/>
        </w:rPr>
        <w:t>Shelter Now.</w:t>
      </w:r>
      <w:r>
        <w:rPr>
          <w:rFonts w:cs="Arial"/>
        </w:rPr>
        <w:t xml:space="preserve"> Several services providers with a focus on homeless youth came together in the fall of 2016 to create a shelter program for youth experiencing homelessness. The coalition consisted of YouthWorks, Adelante, Youth Shelters. Through partnerships with several area churches, 8 – 20 youth were provided a warm, safe place to sleep during the winter months. The location rotated weekly between different churches. The host church would provide meals cooked by church volunteers who would also play board games and cards with the youth. A staff person was in attendance during the course of the night. Transportation to the site was provided and the City made showers available at one of its community centers. The coalition proposes to continue the program in upcoming years. </w:t>
      </w:r>
    </w:p>
    <w:p w:rsidR="00667C28" w:rsidRDefault="007137DF">
      <w:pPr>
        <w:widowControl w:val="0"/>
        <w:rPr>
          <w:b/>
          <w:sz w:val="24"/>
          <w:szCs w:val="24"/>
        </w:rPr>
      </w:pPr>
      <w:r>
        <w:rPr>
          <w:b/>
          <w:sz w:val="24"/>
          <w:szCs w:val="24"/>
        </w:rPr>
        <w:t>Helping homeless persons (especially chronically homeless individuals and families, families with children, veterans and their families, and unaccompanied youth) make the transition to permanent housing and independent living, including shortening the period of time that individuals and families experience homelessness, facilitating access for homeless individuals and families to affordable housing units, and preventing individuals and families who were recently homeless from becoming homeless again</w:t>
      </w:r>
    </w:p>
    <w:p w:rsidR="000A3CA6" w:rsidRDefault="000A3CA6" w:rsidP="000A3CA6">
      <w:pPr>
        <w:keepNext/>
        <w:widowControl w:val="0"/>
        <w:spacing w:before="100" w:beforeAutospacing="1" w:after="100" w:afterAutospacing="1"/>
        <w:rPr>
          <w:rFonts w:cs="Arial"/>
        </w:rPr>
      </w:pPr>
      <w:r>
        <w:rPr>
          <w:rFonts w:cs="Arial"/>
        </w:rPr>
        <w:t>In addition to ensuring the availability of a range of housing program options for these homeless populations, the City also ensures a range of social service program options for homeless individuals, families, v</w:t>
      </w:r>
      <w:r w:rsidR="00EF5E58">
        <w:rPr>
          <w:rFonts w:cs="Arial"/>
        </w:rPr>
        <w:t xml:space="preserve">eterans and unaccompanied youth. The goal is </w:t>
      </w:r>
      <w:r>
        <w:rPr>
          <w:rFonts w:cs="Arial"/>
        </w:rPr>
        <w:t xml:space="preserve">to increase access </w:t>
      </w:r>
      <w:r w:rsidR="00EF5E58">
        <w:rPr>
          <w:rFonts w:cs="Arial"/>
        </w:rPr>
        <w:t xml:space="preserve">to </w:t>
      </w:r>
      <w:r>
        <w:rPr>
          <w:rFonts w:cs="Arial"/>
        </w:rPr>
        <w:t>health, education,</w:t>
      </w:r>
      <w:r w:rsidR="00EF5E58">
        <w:rPr>
          <w:rFonts w:cs="Arial"/>
        </w:rPr>
        <w:t xml:space="preserve"> employment, and housing support services</w:t>
      </w:r>
      <w:r>
        <w:rPr>
          <w:rFonts w:cs="Arial"/>
        </w:rPr>
        <w:t>.  These services include behavioral health counseling for adults and youth, dental healthcare for individuals and families, independent living skill training for homeless youth, and early childhood development and education for homeless families.</w:t>
      </w:r>
    </w:p>
    <w:p w:rsidR="00667C28" w:rsidRDefault="007137DF">
      <w:pPr>
        <w:widowControl w:val="0"/>
        <w:rPr>
          <w:b/>
          <w:sz w:val="24"/>
          <w:szCs w:val="24"/>
        </w:rPr>
      </w:pPr>
      <w:r>
        <w:rPr>
          <w:b/>
          <w:sz w:val="24"/>
          <w:szCs w:val="24"/>
        </w:rPr>
        <w:t>Helping low-income individuals and families avoid becoming homeless, especially extremely low-income individuals and families and those who are:  likely to become homeless after being discharged from publicly funded institutions and systems of care (such as health care facilities, mental health facilities, foster care and other youth facilities, and corrections programs and institutions);  and,  receiving assistance from public or private agencies that address housing, health, social services, employment, education, or youth needs</w:t>
      </w:r>
    </w:p>
    <w:p w:rsidR="0069718C" w:rsidRDefault="0069718C" w:rsidP="006B39A3">
      <w:pPr>
        <w:keepNext/>
        <w:widowControl w:val="0"/>
        <w:rPr>
          <w:rFonts w:cs="Arial"/>
        </w:rPr>
      </w:pPr>
      <w:r>
        <w:rPr>
          <w:rFonts w:cs="Arial"/>
        </w:rPr>
        <w:lastRenderedPageBreak/>
        <w:t>As reported in the 201</w:t>
      </w:r>
      <w:r w:rsidR="00B014DF">
        <w:rPr>
          <w:rFonts w:cs="Arial"/>
        </w:rPr>
        <w:t>6</w:t>
      </w:r>
      <w:r>
        <w:rPr>
          <w:rFonts w:cs="Arial"/>
        </w:rPr>
        <w:t xml:space="preserve"> Action Plan, the City passed a resolution </w:t>
      </w:r>
      <w:r w:rsidR="00616EA7">
        <w:rPr>
          <w:rFonts w:cs="Arial"/>
        </w:rPr>
        <w:t xml:space="preserve">in 2014 </w:t>
      </w:r>
      <w:r>
        <w:rPr>
          <w:rFonts w:cs="Arial"/>
        </w:rPr>
        <w:t>directing staff to convene meetings with service provider agencies; and thereafter, analyze and report back to the governing body.  The follow up report broke down needs for short term and long term goals.  Overall, the long term report details feedback from the service provider community that one-stop services provided by the Life Link and Health Care for the Homeless work well with managed care organizations (MCO’s), such as Molina and PMS.  What is needed is a more coordinated assessment process to reach the highest-need people more quickly and to get ID cards for participants so that they can better transition back into society by obtaining services and accessing employment.  Another great need is transportation for client participants from shelter to services.  Additionally, a campus approach, which would address physical/behavioral health, and transitional housing is being researched by staff and service provider organizations.  Creative architecture could allow for spaces to be designed for persons with different needs levels and therefore, accomplish the provision of services to people who will not engage because of concerns for their safety around other homeless populations, such as the needs of shorter-term homeless, which may include women and families, versus longer-term, chronically homeless with substance</w:t>
      </w:r>
      <w:r w:rsidR="005D608D">
        <w:rPr>
          <w:rFonts w:cs="Arial"/>
        </w:rPr>
        <w:t xml:space="preserve"> and/or </w:t>
      </w:r>
      <w:r>
        <w:rPr>
          <w:rFonts w:cs="Arial"/>
        </w:rPr>
        <w:t>mental health</w:t>
      </w:r>
      <w:r w:rsidR="005D608D">
        <w:rPr>
          <w:rFonts w:cs="Arial"/>
        </w:rPr>
        <w:t xml:space="preserve"> </w:t>
      </w:r>
      <w:r>
        <w:rPr>
          <w:rFonts w:cs="Arial"/>
        </w:rPr>
        <w:t>issues.  This approach would require additional revenue that needs to be identified, such as, for example, an additional excise tax on liquor to support treatment, and an additional tax on business licenses to support housing.</w:t>
      </w:r>
    </w:p>
    <w:p w:rsidR="000F00EB" w:rsidRDefault="005E4E90" w:rsidP="006B39A3">
      <w:pPr>
        <w:keepNext/>
        <w:widowControl w:val="0"/>
        <w:rPr>
          <w:rFonts w:cs="Arial"/>
        </w:rPr>
      </w:pPr>
      <w:r>
        <w:rPr>
          <w:rFonts w:cs="Arial"/>
        </w:rPr>
        <w:t>Concerted</w:t>
      </w:r>
      <w:r w:rsidR="000A3CA6">
        <w:rPr>
          <w:rFonts w:cs="Arial"/>
        </w:rPr>
        <w:t xml:space="preserve"> efforts have been made to expand the safety net of services in Santa Fe. In 2010, the city allocated CDBG and Affordable Housing Trust funds to </w:t>
      </w:r>
      <w:r w:rsidR="000A3CA6">
        <w:rPr>
          <w:rFonts w:cs="Arial"/>
          <w:i/>
        </w:rPr>
        <w:t xml:space="preserve">Faith at Work </w:t>
      </w:r>
      <w:r w:rsidR="000A3CA6">
        <w:rPr>
          <w:rFonts w:cs="Arial"/>
        </w:rPr>
        <w:t xml:space="preserve">which provided 3 months of emergency rent/mortgage assistance to 62 families, preventing immediate eviction and default. Of these families, 53 percent were extremely low-income, earning less than 30 percent AMI. </w:t>
      </w:r>
      <w:r w:rsidR="007D3B2C">
        <w:rPr>
          <w:rFonts w:cs="Arial"/>
        </w:rPr>
        <w:t>Between July 2014 and June 2015, 28</w:t>
      </w:r>
      <w:r w:rsidR="000A3CA6">
        <w:rPr>
          <w:rFonts w:cs="Arial"/>
        </w:rPr>
        <w:t xml:space="preserve"> families </w:t>
      </w:r>
      <w:r w:rsidR="007D3B2C">
        <w:rPr>
          <w:rFonts w:cs="Arial"/>
        </w:rPr>
        <w:t>received</w:t>
      </w:r>
      <w:r w:rsidR="000A3CA6">
        <w:rPr>
          <w:rFonts w:cs="Arial"/>
        </w:rPr>
        <w:t xml:space="preserve"> emergency rent/mortgage assistance through </w:t>
      </w:r>
      <w:r w:rsidR="000A3CA6">
        <w:rPr>
          <w:rFonts w:cs="Arial"/>
          <w:i/>
        </w:rPr>
        <w:t xml:space="preserve">Esperanza Shelter’s </w:t>
      </w:r>
      <w:r w:rsidR="000A3CA6">
        <w:rPr>
          <w:rFonts w:cs="Arial"/>
        </w:rPr>
        <w:t>Emergency Assistance Program (EAP), all of whom were female-headed household with household incomes in the 30 –50 percent AMI range.</w:t>
      </w:r>
      <w:r w:rsidR="000A3CA6" w:rsidRPr="00285433">
        <w:rPr>
          <w:rFonts w:cs="Arial"/>
        </w:rPr>
        <w:t xml:space="preserve"> </w:t>
      </w:r>
      <w:r w:rsidR="000F00EB">
        <w:rPr>
          <w:rFonts w:cs="Arial"/>
        </w:rPr>
        <w:t xml:space="preserve">With CDBG support, </w:t>
      </w:r>
      <w:r w:rsidR="000F00EB" w:rsidRPr="00AB32C3">
        <w:rPr>
          <w:rFonts w:cs="Arial"/>
        </w:rPr>
        <w:t xml:space="preserve">Kitchen Angels </w:t>
      </w:r>
      <w:r w:rsidR="000F00EB">
        <w:rPr>
          <w:rFonts w:cs="Arial"/>
        </w:rPr>
        <w:t>continues to d</w:t>
      </w:r>
      <w:r w:rsidR="000F00EB" w:rsidRPr="00AB32C3">
        <w:rPr>
          <w:rFonts w:cs="Arial"/>
        </w:rPr>
        <w:t>eliver</w:t>
      </w:r>
      <w:r w:rsidR="000F00EB">
        <w:rPr>
          <w:rFonts w:cs="Arial"/>
        </w:rPr>
        <w:t xml:space="preserve"> and increasing number of</w:t>
      </w:r>
      <w:r w:rsidR="000F00EB" w:rsidRPr="00AB32C3">
        <w:rPr>
          <w:rFonts w:cs="Arial"/>
        </w:rPr>
        <w:t xml:space="preserve"> meals </w:t>
      </w:r>
      <w:r w:rsidR="000F00EB">
        <w:rPr>
          <w:rFonts w:cs="Arial"/>
        </w:rPr>
        <w:t xml:space="preserve">each year </w:t>
      </w:r>
      <w:r w:rsidR="000F00EB" w:rsidRPr="00AB32C3">
        <w:rPr>
          <w:rFonts w:cs="Arial"/>
        </w:rPr>
        <w:t>to homebound and terminally ill residents</w:t>
      </w:r>
      <w:r w:rsidR="000F00EB">
        <w:rPr>
          <w:rFonts w:cs="Arial"/>
        </w:rPr>
        <w:t xml:space="preserve">. </w:t>
      </w:r>
    </w:p>
    <w:p w:rsidR="000A3CA6" w:rsidRDefault="000A3CA6" w:rsidP="006B39A3">
      <w:pPr>
        <w:keepNext/>
        <w:widowControl w:val="0"/>
        <w:rPr>
          <w:rFonts w:cs="Arial"/>
        </w:rPr>
      </w:pPr>
      <w:r>
        <w:rPr>
          <w:rFonts w:cs="Arial"/>
        </w:rPr>
        <w:t>In 2014, the City allocated $150,000 from the AHTF to support a pilot rental assistance program, administered through Life Link</w:t>
      </w:r>
      <w:r w:rsidR="000F00EB">
        <w:rPr>
          <w:rFonts w:cs="Arial"/>
        </w:rPr>
        <w:t xml:space="preserve"> that served 49 households.</w:t>
      </w:r>
      <w:r w:rsidR="00B014DF">
        <w:rPr>
          <w:rFonts w:cs="Arial"/>
        </w:rPr>
        <w:t xml:space="preserve"> </w:t>
      </w:r>
      <w:r>
        <w:rPr>
          <w:rFonts w:cs="Arial"/>
        </w:rPr>
        <w:t xml:space="preserve">The funds </w:t>
      </w:r>
      <w:r w:rsidR="000F00EB">
        <w:rPr>
          <w:rFonts w:cs="Arial"/>
        </w:rPr>
        <w:t>provided immediate</w:t>
      </w:r>
      <w:r w:rsidRPr="00AB32C3">
        <w:rPr>
          <w:rFonts w:cs="Arial"/>
        </w:rPr>
        <w:t xml:space="preserve"> rental assistance to families and individuals at risk of being homeless, including rent payments, rental arrears, utilities, and deposits.  </w:t>
      </w:r>
      <w:r w:rsidR="000F00EB">
        <w:rPr>
          <w:rFonts w:cs="Arial"/>
        </w:rPr>
        <w:t xml:space="preserve">General funds were also used in the following fiscal year to continue program. Staff hopes </w:t>
      </w:r>
      <w:r w:rsidR="00616EA7">
        <w:rPr>
          <w:rFonts w:cs="Arial"/>
        </w:rPr>
        <w:t xml:space="preserve">during FY 2017-2018 </w:t>
      </w:r>
      <w:r w:rsidR="000F00EB">
        <w:rPr>
          <w:rFonts w:cs="Arial"/>
        </w:rPr>
        <w:t xml:space="preserve">a budget surplus will allow another rental assistance program to be funded through local funds. </w:t>
      </w:r>
    </w:p>
    <w:p w:rsidR="000A3CA6" w:rsidRDefault="000A3CA6">
      <w:pPr>
        <w:widowControl w:val="0"/>
        <w:rPr>
          <w:b/>
          <w:sz w:val="24"/>
          <w:szCs w:val="24"/>
        </w:rPr>
      </w:pPr>
    </w:p>
    <w:p w:rsidR="00667C28" w:rsidRDefault="007137DF">
      <w:pPr>
        <w:pStyle w:val="Heading2"/>
        <w:pageBreakBefore/>
        <w:widowControl w:val="0"/>
        <w:rPr>
          <w:rFonts w:ascii="Calibri" w:hAnsi="Calibri"/>
          <w:i w:val="0"/>
        </w:rPr>
      </w:pPr>
      <w:bookmarkStart w:id="9" w:name="_Toc426364868"/>
      <w:r>
        <w:rPr>
          <w:rFonts w:ascii="Calibri" w:hAnsi="Calibri"/>
          <w:i w:val="0"/>
        </w:rPr>
        <w:lastRenderedPageBreak/>
        <w:t>CR-30 - Public Housing 91.220(h); 91.320(j)</w:t>
      </w:r>
      <w:bookmarkEnd w:id="9"/>
    </w:p>
    <w:p w:rsidR="00667C28" w:rsidRDefault="007137DF">
      <w:pPr>
        <w:keepNext/>
        <w:widowControl w:val="0"/>
        <w:rPr>
          <w:b/>
          <w:sz w:val="24"/>
          <w:szCs w:val="24"/>
        </w:rPr>
      </w:pPr>
      <w:r>
        <w:rPr>
          <w:b/>
          <w:sz w:val="24"/>
          <w:szCs w:val="24"/>
        </w:rPr>
        <w:t>Actions taken to address the needs of public housing</w:t>
      </w:r>
    </w:p>
    <w:p w:rsidR="000346A2" w:rsidRDefault="000346A2" w:rsidP="000346A2">
      <w:pPr>
        <w:rPr>
          <w:rFonts w:cs="Arial"/>
        </w:rPr>
      </w:pPr>
      <w:r w:rsidRPr="000346A2">
        <w:rPr>
          <w:rFonts w:cs="Arial"/>
        </w:rPr>
        <w:t xml:space="preserve">The Santa Fe Civic Housing Authority (SFCHA) is the public housing agency in Santa Fe. As previously reported, </w:t>
      </w:r>
      <w:r w:rsidR="00D836A0">
        <w:rPr>
          <w:rFonts w:cs="Arial"/>
        </w:rPr>
        <w:t>it</w:t>
      </w:r>
      <w:r w:rsidRPr="000346A2">
        <w:rPr>
          <w:rFonts w:cs="Arial"/>
        </w:rPr>
        <w:t xml:space="preserve"> oversee</w:t>
      </w:r>
      <w:r w:rsidR="00D836A0">
        <w:rPr>
          <w:rFonts w:cs="Arial"/>
        </w:rPr>
        <w:t>s</w:t>
      </w:r>
      <w:r w:rsidRPr="000346A2">
        <w:rPr>
          <w:rFonts w:cs="Arial"/>
        </w:rPr>
        <w:t xml:space="preserve"> 490 units of public housing, and manage</w:t>
      </w:r>
      <w:r w:rsidR="00D836A0">
        <w:rPr>
          <w:rFonts w:cs="Arial"/>
        </w:rPr>
        <w:t>s</w:t>
      </w:r>
      <w:r w:rsidRPr="000346A2">
        <w:rPr>
          <w:rFonts w:cs="Arial"/>
        </w:rPr>
        <w:t xml:space="preserve"> 670 Section 8 vouchers in Santa Fe.  There are a </w:t>
      </w:r>
      <w:r w:rsidR="00D836A0">
        <w:rPr>
          <w:rFonts w:cs="Arial"/>
        </w:rPr>
        <w:t xml:space="preserve">total of 369 units for seniors and </w:t>
      </w:r>
      <w:r w:rsidRPr="000346A2">
        <w:rPr>
          <w:rFonts w:cs="Arial"/>
        </w:rPr>
        <w:t xml:space="preserve">121 </w:t>
      </w:r>
      <w:r w:rsidR="00D836A0">
        <w:rPr>
          <w:rFonts w:cs="Arial"/>
        </w:rPr>
        <w:t xml:space="preserve">units </w:t>
      </w:r>
      <w:r w:rsidRPr="000346A2">
        <w:rPr>
          <w:rFonts w:cs="Arial"/>
        </w:rPr>
        <w:t xml:space="preserve">for families. Currently, 399 people are on the public housing waiting list, and 171 people on the Section 8 </w:t>
      </w:r>
      <w:r w:rsidR="00FE28A3">
        <w:rPr>
          <w:rFonts w:cs="Arial"/>
        </w:rPr>
        <w:t xml:space="preserve">Voucher </w:t>
      </w:r>
      <w:r w:rsidRPr="000346A2">
        <w:rPr>
          <w:rFonts w:cs="Arial"/>
        </w:rPr>
        <w:t xml:space="preserve">waiting list for Santa Fe. SFCHA receives approximately 35 applications per month for public housing.  The application window is closed when 400 are reached.  With only 6 to 8 families and/or individuals coming out of the program each year, new openings are extremely limited. </w:t>
      </w:r>
    </w:p>
    <w:p w:rsidR="000346A2" w:rsidRDefault="000346A2" w:rsidP="000346A2">
      <w:r>
        <w:t xml:space="preserve">Newly refinanced properties </w:t>
      </w:r>
      <w:r w:rsidR="00D836A0">
        <w:t xml:space="preserve">are being systematically renovated to address long-term deferred maintenance issues. They </w:t>
      </w:r>
      <w:r>
        <w:t xml:space="preserve">will likely move towards site-based or site-driven wait lists, which </w:t>
      </w:r>
      <w:r w:rsidR="00A97650">
        <w:t>better supports</w:t>
      </w:r>
      <w:r>
        <w:t xml:space="preserve"> applicants so that the Authority doesn’t have to turn an individual or family down because of location, school district or other limiting factors, </w:t>
      </w:r>
      <w:r w:rsidR="00D5005F">
        <w:t xml:space="preserve">and </w:t>
      </w:r>
      <w:r>
        <w:t>to avoid having to send an individual or household back down to the bottom of the list again.</w:t>
      </w:r>
    </w:p>
    <w:p w:rsidR="00667C28" w:rsidRDefault="007137DF">
      <w:pPr>
        <w:widowControl w:val="0"/>
        <w:rPr>
          <w:b/>
          <w:sz w:val="24"/>
          <w:szCs w:val="24"/>
        </w:rPr>
      </w:pPr>
      <w:r>
        <w:rPr>
          <w:b/>
          <w:sz w:val="24"/>
          <w:szCs w:val="24"/>
        </w:rPr>
        <w:t>Actions taken to encourage public housing residents to become more involved in management and participate in homeownership</w:t>
      </w:r>
    </w:p>
    <w:p w:rsidR="006873D5" w:rsidRPr="00D5005F" w:rsidRDefault="006873D5" w:rsidP="006873D5">
      <w:pPr>
        <w:keepNext/>
        <w:widowControl w:val="0"/>
      </w:pPr>
      <w:r w:rsidRPr="00D5005F">
        <w:t>The Santa Fe Civic Housing Authority continues to run the Family Self-Sufficiency Program which supports residents and voucher holders to place funds in escrow to achieve home ownership and educational goals.</w:t>
      </w:r>
    </w:p>
    <w:p w:rsidR="00667C28" w:rsidRDefault="007137DF">
      <w:pPr>
        <w:widowControl w:val="0"/>
        <w:rPr>
          <w:b/>
          <w:sz w:val="24"/>
          <w:szCs w:val="24"/>
        </w:rPr>
      </w:pPr>
      <w:r>
        <w:rPr>
          <w:b/>
          <w:sz w:val="24"/>
          <w:szCs w:val="24"/>
        </w:rPr>
        <w:t>Actions taken to provide assistance to troubled PHAs</w:t>
      </w:r>
    </w:p>
    <w:p w:rsidR="004D3765" w:rsidRPr="00D836A0" w:rsidRDefault="004D3765" w:rsidP="004D3765">
      <w:pPr>
        <w:keepNext/>
        <w:widowControl w:val="0"/>
        <w:spacing w:beforeAutospacing="1" w:afterAutospacing="1"/>
        <w:rPr>
          <w:rFonts w:cs="Arial"/>
        </w:rPr>
      </w:pPr>
      <w:r w:rsidRPr="00D836A0">
        <w:rPr>
          <w:rFonts w:cs="Arial"/>
        </w:rPr>
        <w:t>The PHA is not designated as troubled.</w:t>
      </w:r>
    </w:p>
    <w:p w:rsidR="004D3765" w:rsidRDefault="004D3765">
      <w:pPr>
        <w:widowControl w:val="0"/>
        <w:rPr>
          <w:b/>
          <w:sz w:val="24"/>
          <w:szCs w:val="24"/>
        </w:rPr>
      </w:pPr>
    </w:p>
    <w:p w:rsidR="00667C28" w:rsidRDefault="007137DF">
      <w:pPr>
        <w:pStyle w:val="Heading2"/>
        <w:pageBreakBefore/>
        <w:widowControl w:val="0"/>
        <w:rPr>
          <w:rFonts w:ascii="Calibri" w:hAnsi="Calibri"/>
          <w:i w:val="0"/>
        </w:rPr>
      </w:pPr>
      <w:bookmarkStart w:id="10" w:name="_Toc426364869"/>
      <w:r>
        <w:rPr>
          <w:rFonts w:ascii="Calibri" w:hAnsi="Calibri"/>
          <w:i w:val="0"/>
        </w:rPr>
        <w:lastRenderedPageBreak/>
        <w:t>CR-35 - Other Actions 91.220(j)-(k); 91.320(i)-(j)</w:t>
      </w:r>
      <w:bookmarkEnd w:id="10"/>
    </w:p>
    <w:p w:rsidR="00667C28" w:rsidRDefault="007137DF">
      <w:pPr>
        <w:widowControl w:val="0"/>
        <w:rPr>
          <w:b/>
          <w:sz w:val="24"/>
          <w:szCs w:val="24"/>
        </w:rPr>
      </w:pPr>
      <w:r>
        <w:rPr>
          <w:b/>
          <w:sz w:val="24"/>
          <w:szCs w:val="24"/>
        </w:rPr>
        <w:t>Actions taken to remove or ameliorate the negative effects of public policies that serve as barriers to affordable housing such as land use controls, tax policies affecting land, zoning ordinances, building codes, fees and charges, growth limitations, and policies affecting the return on residential investment. 91.220 (j); 91.320 (i)</w:t>
      </w:r>
    </w:p>
    <w:p w:rsidR="00A00F22" w:rsidRDefault="00BA1C2B" w:rsidP="00B92EC1">
      <w:pPr>
        <w:keepNext/>
        <w:widowControl w:val="0"/>
        <w:rPr>
          <w:rFonts w:cs="Arial"/>
        </w:rPr>
      </w:pPr>
      <w:r w:rsidRPr="00571F78">
        <w:rPr>
          <w:rFonts w:cs="Arial"/>
        </w:rPr>
        <w:t xml:space="preserve">Disproportionately, those who are most heavily cost-burdened, have the lowest incomes. The City of Santa Fe </w:t>
      </w:r>
      <w:r w:rsidR="00571F78" w:rsidRPr="00571F78">
        <w:rPr>
          <w:rFonts w:cs="Arial"/>
        </w:rPr>
        <w:t>is reviewing</w:t>
      </w:r>
      <w:r w:rsidRPr="00571F78">
        <w:rPr>
          <w:rFonts w:cs="Arial"/>
        </w:rPr>
        <w:t xml:space="preserve"> its policies and practices to mitigate barriers to housing development--particularly affordable housing development</w:t>
      </w:r>
      <w:r w:rsidR="00D836A0">
        <w:rPr>
          <w:rFonts w:cs="Arial"/>
        </w:rPr>
        <w:t xml:space="preserve">. A review of </w:t>
      </w:r>
      <w:r w:rsidRPr="00571F78">
        <w:rPr>
          <w:rFonts w:cs="Arial"/>
        </w:rPr>
        <w:t>city housing policies and land use and zoning regulations</w:t>
      </w:r>
      <w:r w:rsidR="00516B63" w:rsidRPr="00571F78">
        <w:rPr>
          <w:rFonts w:cs="Arial"/>
        </w:rPr>
        <w:t xml:space="preserve"> ha</w:t>
      </w:r>
      <w:r w:rsidR="00571F78" w:rsidRPr="00571F78">
        <w:rPr>
          <w:rFonts w:cs="Arial"/>
        </w:rPr>
        <w:t>s</w:t>
      </w:r>
      <w:r w:rsidR="00516B63" w:rsidRPr="00571F78">
        <w:rPr>
          <w:rFonts w:cs="Arial"/>
        </w:rPr>
        <w:t xml:space="preserve"> </w:t>
      </w:r>
      <w:r w:rsidR="00571F78" w:rsidRPr="00571F78">
        <w:rPr>
          <w:rFonts w:cs="Arial"/>
        </w:rPr>
        <w:t>identified</w:t>
      </w:r>
      <w:r w:rsidRPr="00571F78">
        <w:rPr>
          <w:rFonts w:cs="Arial"/>
        </w:rPr>
        <w:t xml:space="preserve"> concerns</w:t>
      </w:r>
      <w:r w:rsidR="00516B63" w:rsidRPr="00571F78">
        <w:rPr>
          <w:rFonts w:cs="Arial"/>
        </w:rPr>
        <w:t xml:space="preserve"> in 201</w:t>
      </w:r>
      <w:r w:rsidR="00571F78" w:rsidRPr="00571F78">
        <w:rPr>
          <w:rFonts w:cs="Arial"/>
        </w:rPr>
        <w:t>6, namely s</w:t>
      </w:r>
      <w:r w:rsidRPr="00571F78">
        <w:rPr>
          <w:rFonts w:cs="Arial"/>
        </w:rPr>
        <w:t>takeholders rais</w:t>
      </w:r>
      <w:r w:rsidR="00571F78" w:rsidRPr="00571F78">
        <w:rPr>
          <w:rFonts w:cs="Arial"/>
        </w:rPr>
        <w:t>ing</w:t>
      </w:r>
      <w:r w:rsidRPr="00571F78">
        <w:rPr>
          <w:rFonts w:cs="Arial"/>
        </w:rPr>
        <w:t xml:space="preserve"> concerns about inconsistent and unpredictable development approval decisions and “NIMBYism” affecting approvals. According to stakeholder interviews and private sector focus groups there is a stigma associated with affordable housing developments and neighborhood associations make strong efforts to impede affordable development.</w:t>
      </w:r>
    </w:p>
    <w:p w:rsidR="00BA1C2B" w:rsidRDefault="00BA1C2B" w:rsidP="00B92EC1">
      <w:pPr>
        <w:keepNext/>
        <w:widowControl w:val="0"/>
        <w:rPr>
          <w:rFonts w:cs="Arial"/>
        </w:rPr>
      </w:pPr>
      <w:r>
        <w:rPr>
          <w:rFonts w:cs="Arial"/>
        </w:rPr>
        <w:t> </w:t>
      </w:r>
      <w:r w:rsidRPr="00E20811">
        <w:rPr>
          <w:rFonts w:cs="Arial"/>
        </w:rPr>
        <w:t xml:space="preserve">In 2014 the City prepared several outreach materials regarding housing laws including the Federal Fair Housing Act, the New Mexico Uniform Owner Resident Relations Act (UORRA) and the NM Mobile Home Act.  Often non-English speakers are further affected by not being aware of the rights and protections to which they are entitled under these laws. The outreach materials consist of Fair Housing Frequently Asked Questions brochures in English and Spanish and a tenant rights “Novella”, both in Spanish and English with ongoing distribution throughout the year.  They </w:t>
      </w:r>
      <w:r w:rsidR="00D836A0">
        <w:rPr>
          <w:rFonts w:cs="Arial"/>
        </w:rPr>
        <w:t>were</w:t>
      </w:r>
      <w:r w:rsidRPr="00E20811">
        <w:rPr>
          <w:rFonts w:cs="Arial"/>
        </w:rPr>
        <w:t xml:space="preserve"> distributed predominantly in Spanish-speaking and lower income neighborhoods as well as</w:t>
      </w:r>
      <w:r w:rsidR="00E0363B" w:rsidRPr="00E20811">
        <w:rPr>
          <w:rFonts w:cs="Arial"/>
        </w:rPr>
        <w:t xml:space="preserve"> through school liaisons with the Santa Fe Public Schools and </w:t>
      </w:r>
      <w:r w:rsidRPr="00E20811">
        <w:rPr>
          <w:rFonts w:cs="Arial"/>
        </w:rPr>
        <w:t xml:space="preserve">community facilities throughout the City along with the </w:t>
      </w:r>
      <w:r w:rsidR="00516B63" w:rsidRPr="00E20811">
        <w:rPr>
          <w:rFonts w:cs="Arial"/>
        </w:rPr>
        <w:t>CAPER</w:t>
      </w:r>
      <w:r w:rsidRPr="00E20811">
        <w:rPr>
          <w:rFonts w:cs="Arial"/>
        </w:rPr>
        <w:t>.</w:t>
      </w:r>
      <w:r>
        <w:rPr>
          <w:rFonts w:cs="Arial"/>
        </w:rPr>
        <w:t xml:space="preserve">  </w:t>
      </w:r>
    </w:p>
    <w:p w:rsidR="00667C28" w:rsidRDefault="007137DF">
      <w:pPr>
        <w:widowControl w:val="0"/>
        <w:rPr>
          <w:b/>
          <w:sz w:val="24"/>
          <w:szCs w:val="24"/>
        </w:rPr>
      </w:pPr>
      <w:r>
        <w:rPr>
          <w:b/>
          <w:sz w:val="24"/>
          <w:szCs w:val="24"/>
        </w:rPr>
        <w:t>Actions taken to address obstacles to meeting underserved needs.  91.220(k); 91.320(j)</w:t>
      </w:r>
    </w:p>
    <w:p w:rsidR="00942BCF" w:rsidRDefault="00942BCF" w:rsidP="00422843">
      <w:pPr>
        <w:widowControl w:val="0"/>
        <w:rPr>
          <w:rFonts w:cs="Arial"/>
        </w:rPr>
      </w:pPr>
      <w:r>
        <w:rPr>
          <w:rFonts w:cs="Arial"/>
        </w:rPr>
        <w:t>As reported, t</w:t>
      </w:r>
      <w:r w:rsidR="004F51E6" w:rsidRPr="0029379A">
        <w:rPr>
          <w:rFonts w:cs="Arial"/>
        </w:rPr>
        <w:t>he project</w:t>
      </w:r>
      <w:r w:rsidR="00D836A0">
        <w:rPr>
          <w:rFonts w:cs="Arial"/>
        </w:rPr>
        <w:t>s that were funded and executed through CDBG and local funds increase</w:t>
      </w:r>
      <w:r w:rsidR="004F51E6" w:rsidRPr="0029379A">
        <w:rPr>
          <w:rFonts w:cs="Arial"/>
        </w:rPr>
        <w:t xml:space="preserve"> the availability of affordable housing to low and moderate income households</w:t>
      </w:r>
      <w:r w:rsidR="00D836A0">
        <w:rPr>
          <w:rFonts w:cs="Arial"/>
        </w:rPr>
        <w:t>.</w:t>
      </w:r>
      <w:r w:rsidR="004F51E6" w:rsidRPr="0029379A">
        <w:rPr>
          <w:rFonts w:cs="Arial"/>
        </w:rPr>
        <w:t xml:space="preserve"> </w:t>
      </w:r>
      <w:r w:rsidR="00D836A0">
        <w:rPr>
          <w:rFonts w:cs="Arial"/>
        </w:rPr>
        <w:t>Furthermore, the City has actively supported the development of three LIHTC multi-family properties</w:t>
      </w:r>
      <w:r w:rsidRPr="00942BCF">
        <w:rPr>
          <w:rFonts w:cs="Arial"/>
        </w:rPr>
        <w:t xml:space="preserve"> </w:t>
      </w:r>
      <w:r>
        <w:rPr>
          <w:rFonts w:cs="Arial"/>
        </w:rPr>
        <w:t>with CDBG funds and through the donation of City-owned land</w:t>
      </w:r>
      <w:r w:rsidR="00D836A0">
        <w:rPr>
          <w:rFonts w:cs="Arial"/>
        </w:rPr>
        <w:t xml:space="preserve">. Two are leased up </w:t>
      </w:r>
      <w:r>
        <w:rPr>
          <w:rFonts w:cs="Arial"/>
        </w:rPr>
        <w:t xml:space="preserve">(120 units total) </w:t>
      </w:r>
      <w:r w:rsidR="00D836A0">
        <w:rPr>
          <w:rFonts w:cs="Arial"/>
        </w:rPr>
        <w:t>and one will begin construction during the upcoming year</w:t>
      </w:r>
      <w:r>
        <w:rPr>
          <w:rFonts w:cs="Arial"/>
        </w:rPr>
        <w:t xml:space="preserve"> (87 units)</w:t>
      </w:r>
      <w:r w:rsidR="00D836A0">
        <w:rPr>
          <w:rFonts w:cs="Arial"/>
        </w:rPr>
        <w:t>. All of the properties address</w:t>
      </w:r>
      <w:r w:rsidR="004F51E6" w:rsidRPr="0029379A">
        <w:rPr>
          <w:rFonts w:cs="Arial"/>
        </w:rPr>
        <w:t xml:space="preserve"> the needs of </w:t>
      </w:r>
      <w:r w:rsidR="00D836A0">
        <w:rPr>
          <w:rFonts w:cs="Arial"/>
        </w:rPr>
        <w:t xml:space="preserve">people transitioning out of </w:t>
      </w:r>
      <w:r w:rsidR="004F51E6" w:rsidRPr="0029379A">
        <w:rPr>
          <w:rFonts w:cs="Arial"/>
        </w:rPr>
        <w:t>homeless</w:t>
      </w:r>
      <w:r w:rsidR="00D836A0">
        <w:rPr>
          <w:rFonts w:cs="Arial"/>
        </w:rPr>
        <w:t>ness</w:t>
      </w:r>
      <w:r w:rsidR="004F51E6" w:rsidRPr="0029379A">
        <w:rPr>
          <w:rFonts w:cs="Arial"/>
        </w:rPr>
        <w:t xml:space="preserve">, </w:t>
      </w:r>
      <w:r>
        <w:rPr>
          <w:rFonts w:cs="Arial"/>
        </w:rPr>
        <w:t>renters</w:t>
      </w:r>
      <w:r w:rsidR="004F51E6" w:rsidRPr="0029379A">
        <w:rPr>
          <w:rFonts w:cs="Arial"/>
        </w:rPr>
        <w:t xml:space="preserve"> with special needs</w:t>
      </w:r>
      <w:r>
        <w:rPr>
          <w:rFonts w:cs="Arial"/>
        </w:rPr>
        <w:t xml:space="preserve"> and very low incomes by offering 25% of their units at rents affordable to those earning 30%AMI and less</w:t>
      </w:r>
      <w:r w:rsidR="004F51E6" w:rsidRPr="0029379A">
        <w:rPr>
          <w:rFonts w:cs="Arial"/>
        </w:rPr>
        <w:t>.</w:t>
      </w:r>
      <w:r w:rsidR="004F51E6">
        <w:rPr>
          <w:rFonts w:cs="Arial"/>
        </w:rPr>
        <w:t xml:space="preserve">  </w:t>
      </w:r>
    </w:p>
    <w:p w:rsidR="004F51E6" w:rsidRPr="0029379A" w:rsidRDefault="00D836A0" w:rsidP="00422843">
      <w:pPr>
        <w:widowControl w:val="0"/>
        <w:rPr>
          <w:rFonts w:cs="Arial"/>
        </w:rPr>
      </w:pPr>
      <w:r>
        <w:rPr>
          <w:rFonts w:cs="Arial"/>
        </w:rPr>
        <w:t xml:space="preserve">The </w:t>
      </w:r>
      <w:r w:rsidRPr="00571F78">
        <w:rPr>
          <w:rFonts w:cs="Arial"/>
        </w:rPr>
        <w:t xml:space="preserve">2016 Analysis of Impediments to Fair Housing Choice </w:t>
      </w:r>
      <w:r w:rsidR="00942BCF">
        <w:rPr>
          <w:rFonts w:cs="Arial"/>
        </w:rPr>
        <w:t xml:space="preserve">was completed during the program year and </w:t>
      </w:r>
      <w:r>
        <w:rPr>
          <w:rFonts w:cs="Arial"/>
        </w:rPr>
        <w:t>calls for identifying high opportunity areas in which to develop mixed-income housing and create more multi-family housing</w:t>
      </w:r>
      <w:r w:rsidRPr="00571F78">
        <w:rPr>
          <w:rFonts w:cs="Arial"/>
        </w:rPr>
        <w:t xml:space="preserve">. </w:t>
      </w:r>
      <w:r w:rsidR="00942BCF">
        <w:rPr>
          <w:rFonts w:cs="Arial"/>
        </w:rPr>
        <w:t>The study also calls for examining land use policies and zoning districts to alleviate institutional and structural barriers to the distribution of affordable housing. Another need is to provide ongoing landlord/renter resources.</w:t>
      </w:r>
      <w:r w:rsidRPr="00571F78">
        <w:rPr>
          <w:rFonts w:cs="Arial"/>
        </w:rPr>
        <w:t xml:space="preserve"> Toward the effort of affirmatively furthering fair housing, the City will also be reviewing and revising policies again in the new template, in the 2017 Assessment of Fair Housing (AFH) publication</w:t>
      </w:r>
      <w:r w:rsidR="00942BCF">
        <w:rPr>
          <w:rFonts w:cs="Arial"/>
        </w:rPr>
        <w:t xml:space="preserve"> which will be completed in September of 2017</w:t>
      </w:r>
      <w:r w:rsidRPr="00571F78">
        <w:rPr>
          <w:rFonts w:cs="Arial"/>
        </w:rPr>
        <w:t xml:space="preserve">.  </w:t>
      </w:r>
    </w:p>
    <w:p w:rsidR="00667C28" w:rsidRDefault="007137DF" w:rsidP="004F51E6">
      <w:pPr>
        <w:widowControl w:val="0"/>
        <w:tabs>
          <w:tab w:val="left" w:pos="3075"/>
        </w:tabs>
        <w:rPr>
          <w:b/>
          <w:sz w:val="24"/>
          <w:szCs w:val="24"/>
        </w:rPr>
      </w:pPr>
      <w:r>
        <w:rPr>
          <w:b/>
          <w:sz w:val="24"/>
          <w:szCs w:val="24"/>
        </w:rPr>
        <w:lastRenderedPageBreak/>
        <w:t>Actions taken to reduce lead-based paint hazards. 91.220(k); 91.320(j)</w:t>
      </w:r>
      <w:r w:rsidR="004F51E6">
        <w:rPr>
          <w:b/>
          <w:sz w:val="24"/>
          <w:szCs w:val="24"/>
        </w:rPr>
        <w:tab/>
      </w:r>
    </w:p>
    <w:p w:rsidR="004F51E6" w:rsidRPr="00422843" w:rsidRDefault="004F51E6" w:rsidP="004F51E6">
      <w:pPr>
        <w:widowControl w:val="0"/>
        <w:spacing w:before="100" w:beforeAutospacing="1" w:after="100" w:afterAutospacing="1"/>
      </w:pPr>
      <w:r w:rsidRPr="00422843">
        <w:t>As reported in the Consolidated Plan, there is a repair need of older homes in Santa Fe.  The CDBG-funded Home Improvement project showed that there was a concentration of homes in the 87505 area code and was split amongst census tracts.  In 2014-2015, two out of the five homes served by this project were built prior to 1978.  The sub-recipient</w:t>
      </w:r>
      <w:r w:rsidR="0064381D">
        <w:t>s</w:t>
      </w:r>
      <w:r w:rsidRPr="00422843">
        <w:t xml:space="preserve"> reported that no paint was disturbed in either of those projects, so no remediation was conducted.</w:t>
      </w:r>
    </w:p>
    <w:p w:rsidR="00667C28" w:rsidRDefault="007137DF" w:rsidP="0064381D">
      <w:pPr>
        <w:widowControl w:val="0"/>
        <w:rPr>
          <w:b/>
          <w:sz w:val="24"/>
          <w:szCs w:val="24"/>
        </w:rPr>
      </w:pPr>
      <w:r>
        <w:rPr>
          <w:b/>
          <w:sz w:val="24"/>
          <w:szCs w:val="24"/>
        </w:rPr>
        <w:t>Actions taken to reduce the number of poverty-level families. 91.220(k); 91.320(j)</w:t>
      </w:r>
    </w:p>
    <w:p w:rsidR="00422843" w:rsidRPr="001861F4" w:rsidRDefault="00422843" w:rsidP="00D3131E">
      <w:pPr>
        <w:widowControl w:val="0"/>
        <w:spacing w:beforeAutospacing="1"/>
        <w:rPr>
          <w:rFonts w:cs="Arial"/>
        </w:rPr>
      </w:pPr>
      <w:r w:rsidRPr="001861F4">
        <w:rPr>
          <w:rFonts w:cs="Arial"/>
        </w:rPr>
        <w:t>As part of an anti-poverty strategy, the City has worked toward implementing the following:</w:t>
      </w:r>
    </w:p>
    <w:p w:rsidR="00422843" w:rsidRPr="0029379A" w:rsidRDefault="00422843" w:rsidP="00616EA7">
      <w:pPr>
        <w:widowControl w:val="0"/>
        <w:numPr>
          <w:ilvl w:val="0"/>
          <w:numId w:val="30"/>
        </w:numPr>
        <w:spacing w:after="0"/>
        <w:rPr>
          <w:rFonts w:cs="Arial"/>
        </w:rPr>
      </w:pPr>
      <w:r w:rsidRPr="0029379A">
        <w:rPr>
          <w:rFonts w:cs="Arial"/>
        </w:rPr>
        <w:t xml:space="preserve">Establish priorities for allocating federal tax credits to mixed income rental developments where at least </w:t>
      </w:r>
      <w:r w:rsidR="0064381D">
        <w:rPr>
          <w:rFonts w:cs="Arial"/>
        </w:rPr>
        <w:t>25%</w:t>
      </w:r>
      <w:r w:rsidRPr="0029379A">
        <w:rPr>
          <w:rFonts w:cs="Arial"/>
        </w:rPr>
        <w:t xml:space="preserve"> of the rental units will be affordable to households earning less than 50 percent of the AMI;</w:t>
      </w:r>
    </w:p>
    <w:p w:rsidR="00422843" w:rsidRPr="0029379A" w:rsidRDefault="00422843" w:rsidP="00616EA7">
      <w:pPr>
        <w:widowControl w:val="0"/>
        <w:numPr>
          <w:ilvl w:val="0"/>
          <w:numId w:val="30"/>
        </w:numPr>
        <w:spacing w:after="0"/>
        <w:rPr>
          <w:rFonts w:cs="Arial"/>
        </w:rPr>
      </w:pPr>
      <w:r w:rsidRPr="0029379A">
        <w:rPr>
          <w:rFonts w:cs="Arial"/>
        </w:rPr>
        <w:t>Fund a local housing voucher program to provide assistance to the homeless and near homeless;</w:t>
      </w:r>
    </w:p>
    <w:p w:rsidR="00422843" w:rsidRPr="0029379A" w:rsidRDefault="00422843" w:rsidP="00616EA7">
      <w:pPr>
        <w:widowControl w:val="0"/>
        <w:numPr>
          <w:ilvl w:val="0"/>
          <w:numId w:val="30"/>
        </w:numPr>
        <w:spacing w:after="0"/>
        <w:rPr>
          <w:rFonts w:cs="Arial"/>
        </w:rPr>
      </w:pPr>
      <w:r w:rsidRPr="0029379A">
        <w:rPr>
          <w:rFonts w:cs="Arial"/>
        </w:rPr>
        <w:t>Modify the Santa Fe Homes Program (SFHP) so that the rental requirement is relevant to the housing needs in the community;</w:t>
      </w:r>
    </w:p>
    <w:p w:rsidR="00422843" w:rsidRPr="0029379A" w:rsidRDefault="00422843" w:rsidP="00616EA7">
      <w:pPr>
        <w:widowControl w:val="0"/>
        <w:numPr>
          <w:ilvl w:val="0"/>
          <w:numId w:val="30"/>
        </w:numPr>
        <w:spacing w:after="0"/>
        <w:rPr>
          <w:rFonts w:cs="Arial"/>
        </w:rPr>
      </w:pPr>
      <w:r w:rsidRPr="0029379A">
        <w:rPr>
          <w:rFonts w:cs="Arial"/>
        </w:rPr>
        <w:t>Work with for-profit and nonprofit organizations to develop on new multifamily, mixed income rental property</w:t>
      </w:r>
      <w:r w:rsidR="001861F4">
        <w:rPr>
          <w:rFonts w:cs="Arial"/>
        </w:rPr>
        <w:t xml:space="preserve"> using Low Income Hou</w:t>
      </w:r>
      <w:r w:rsidR="0064381D">
        <w:rPr>
          <w:rFonts w:cs="Arial"/>
        </w:rPr>
        <w:t>sing Tax Credits where feasible</w:t>
      </w:r>
      <w:r w:rsidRPr="0029379A">
        <w:rPr>
          <w:rFonts w:cs="Arial"/>
        </w:rPr>
        <w:t>;</w:t>
      </w:r>
    </w:p>
    <w:p w:rsidR="00422843" w:rsidRDefault="00422843" w:rsidP="00616EA7">
      <w:pPr>
        <w:widowControl w:val="0"/>
        <w:numPr>
          <w:ilvl w:val="0"/>
          <w:numId w:val="30"/>
        </w:numPr>
        <w:spacing w:after="0"/>
        <w:rPr>
          <w:rFonts w:cs="Arial"/>
        </w:rPr>
      </w:pPr>
      <w:r w:rsidRPr="0029379A">
        <w:rPr>
          <w:rFonts w:cs="Arial"/>
        </w:rPr>
        <w:t>Identify all existing affordable rentals and develop a preservation plan as needed</w:t>
      </w:r>
      <w:r w:rsidR="001861F4">
        <w:rPr>
          <w:rFonts w:cs="Arial"/>
        </w:rPr>
        <w:t>;</w:t>
      </w:r>
    </w:p>
    <w:p w:rsidR="00616EA7" w:rsidRDefault="00D3131E" w:rsidP="00616EA7">
      <w:pPr>
        <w:pStyle w:val="ListParagraph"/>
        <w:widowControl w:val="0"/>
        <w:numPr>
          <w:ilvl w:val="0"/>
          <w:numId w:val="30"/>
        </w:numPr>
        <w:spacing w:after="0"/>
        <w:rPr>
          <w:rFonts w:cs="Arial"/>
        </w:rPr>
      </w:pPr>
      <w:r w:rsidRPr="00616EA7">
        <w:rPr>
          <w:rFonts w:cs="Arial"/>
        </w:rPr>
        <w:t xml:space="preserve">Support construction and lease up of </w:t>
      </w:r>
      <w:r w:rsidR="004B24CD" w:rsidRPr="00616EA7">
        <w:rPr>
          <w:rFonts w:cs="Arial"/>
        </w:rPr>
        <w:t>Las Soleras Station</w:t>
      </w:r>
      <w:r w:rsidRPr="00616EA7">
        <w:rPr>
          <w:rFonts w:cs="Arial"/>
        </w:rPr>
        <w:t>, a</w:t>
      </w:r>
      <w:r w:rsidR="004B24CD" w:rsidRPr="00616EA7">
        <w:rPr>
          <w:rFonts w:cs="Arial"/>
        </w:rPr>
        <w:t xml:space="preserve">n 87-unit project planned for the southwest sector of town that was awarded tax credits in the 2017 application round and will be constructed by the Santa Fe Community Housing Trust. The land was donated by the City and leveraged through a Santa Fe Homes Program Agreement with the single family home developer of an adjacent parcel. 25% of the units are reserved for renters transitioning out of homelessness and/or renters earning less than 30%AMI. </w:t>
      </w:r>
    </w:p>
    <w:p w:rsidR="006C71BE" w:rsidRPr="00616EA7" w:rsidRDefault="00D3131E" w:rsidP="00616EA7">
      <w:pPr>
        <w:pStyle w:val="ListParagraph"/>
        <w:widowControl w:val="0"/>
        <w:numPr>
          <w:ilvl w:val="0"/>
          <w:numId w:val="30"/>
        </w:numPr>
        <w:spacing w:after="0"/>
        <w:rPr>
          <w:rFonts w:cs="Arial"/>
        </w:rPr>
      </w:pPr>
      <w:r w:rsidRPr="00616EA7">
        <w:rPr>
          <w:rFonts w:cs="Arial"/>
        </w:rPr>
        <w:t xml:space="preserve">Support tax credit award, construction and lease up of the </w:t>
      </w:r>
      <w:r w:rsidR="001A565F" w:rsidRPr="00616EA7">
        <w:rPr>
          <w:rFonts w:cs="Arial"/>
        </w:rPr>
        <w:t>Arts + Creativity Center</w:t>
      </w:r>
      <w:r w:rsidRPr="00616EA7">
        <w:rPr>
          <w:rFonts w:cs="Arial"/>
        </w:rPr>
        <w:t xml:space="preserve">, a 60 unit project, planned for a parcel of city-owned land that will serve primarily 30-60% AMI renters, in conjunction with a small number of market rate units. The affordable live/work spaces are intended to support entrepreneurial creative and maker businesses and the project will include community space for retail, performance and exhibitions. </w:t>
      </w:r>
      <w:r w:rsidR="0064381D" w:rsidRPr="00616EA7">
        <w:rPr>
          <w:rFonts w:cs="Arial"/>
        </w:rPr>
        <w:t>The project did not receive LIHTC funding in 2017 but will resubmit an application in 2018.</w:t>
      </w:r>
      <w:r w:rsidR="00E41F56" w:rsidRPr="00616EA7">
        <w:rPr>
          <w:rFonts w:cs="Arial"/>
        </w:rPr>
        <w:t xml:space="preserve"> </w:t>
      </w:r>
    </w:p>
    <w:p w:rsidR="00422843" w:rsidRPr="001861F4" w:rsidRDefault="00422843" w:rsidP="00616EA7">
      <w:pPr>
        <w:widowControl w:val="0"/>
        <w:spacing w:before="240"/>
        <w:rPr>
          <w:rFonts w:cs="Arial"/>
        </w:rPr>
      </w:pPr>
      <w:r w:rsidRPr="001861F4">
        <w:rPr>
          <w:rFonts w:cs="Arial"/>
        </w:rPr>
        <w:t>Given the City's high rate of cost burden, even for homeowners, it is apparent that continued focus on rehabilitation, home repair, and other support services is essential to alleviating poverty in Santa Fe.  Specific programs that reduce the number of poverty level of families are:</w:t>
      </w:r>
    </w:p>
    <w:p w:rsidR="00422843" w:rsidRPr="006E3737" w:rsidRDefault="00422843" w:rsidP="006E3737">
      <w:pPr>
        <w:pStyle w:val="ListParagraph"/>
        <w:widowControl w:val="0"/>
        <w:numPr>
          <w:ilvl w:val="0"/>
          <w:numId w:val="21"/>
        </w:numPr>
        <w:rPr>
          <w:rFonts w:cs="Arial"/>
        </w:rPr>
      </w:pPr>
      <w:r w:rsidRPr="006E3737">
        <w:rPr>
          <w:rFonts w:cs="Arial"/>
        </w:rPr>
        <w:t xml:space="preserve">Conserve and maintain Santa Fe's existing housing stock </w:t>
      </w:r>
      <w:r w:rsidR="00D3131E">
        <w:rPr>
          <w:rFonts w:cs="Arial"/>
        </w:rPr>
        <w:t>in</w:t>
      </w:r>
      <w:r w:rsidRPr="006E3737">
        <w:rPr>
          <w:rFonts w:cs="Arial"/>
        </w:rPr>
        <w:t xml:space="preserve"> residential neighborhoods</w:t>
      </w:r>
      <w:r w:rsidR="00D3131E">
        <w:rPr>
          <w:rFonts w:cs="Arial"/>
        </w:rPr>
        <w:t>;</w:t>
      </w:r>
    </w:p>
    <w:p w:rsidR="00422843" w:rsidRPr="006E3737" w:rsidRDefault="00422843" w:rsidP="006E3737">
      <w:pPr>
        <w:pStyle w:val="ListParagraph"/>
        <w:widowControl w:val="0"/>
        <w:numPr>
          <w:ilvl w:val="0"/>
          <w:numId w:val="21"/>
        </w:numPr>
        <w:rPr>
          <w:rFonts w:cs="Arial"/>
        </w:rPr>
      </w:pPr>
      <w:r w:rsidRPr="006E3737">
        <w:rPr>
          <w:rFonts w:cs="Arial"/>
        </w:rPr>
        <w:t>Continue to support rehabilitation loan programs targeted toward low to moderate income homeowners (</w:t>
      </w:r>
      <w:r w:rsidR="00D3131E">
        <w:rPr>
          <w:rFonts w:cs="Arial"/>
        </w:rPr>
        <w:t>3</w:t>
      </w:r>
      <w:r w:rsidRPr="006E3737">
        <w:rPr>
          <w:rFonts w:cs="Arial"/>
        </w:rPr>
        <w:t xml:space="preserve">0 to 80 percent AMI), which includes home renovations, emergency repairs and </w:t>
      </w:r>
      <w:r w:rsidRPr="006E3737">
        <w:rPr>
          <w:rFonts w:cs="Arial"/>
        </w:rPr>
        <w:lastRenderedPageBreak/>
        <w:t>energy conservation measures including the purchase of new appliances, ret</w:t>
      </w:r>
      <w:r w:rsidR="00D3131E">
        <w:rPr>
          <w:rFonts w:cs="Arial"/>
        </w:rPr>
        <w:t>rofits, and solar water heaters;</w:t>
      </w:r>
    </w:p>
    <w:p w:rsidR="00422843" w:rsidRDefault="00422843" w:rsidP="006E3737">
      <w:pPr>
        <w:pStyle w:val="ListParagraph"/>
        <w:widowControl w:val="0"/>
        <w:numPr>
          <w:ilvl w:val="0"/>
          <w:numId w:val="21"/>
        </w:numPr>
        <w:rPr>
          <w:rFonts w:cs="Arial"/>
        </w:rPr>
      </w:pPr>
      <w:r w:rsidRPr="006E3737">
        <w:rPr>
          <w:rFonts w:cs="Arial"/>
        </w:rPr>
        <w:t>Support the SFCHA's RAD conversion project to re</w:t>
      </w:r>
      <w:r w:rsidR="0064381D">
        <w:rPr>
          <w:rFonts w:cs="Arial"/>
        </w:rPr>
        <w:t>novate 120 public housing units</w:t>
      </w:r>
      <w:r w:rsidRPr="006E3737">
        <w:rPr>
          <w:rFonts w:cs="Arial"/>
        </w:rPr>
        <w:t>.</w:t>
      </w:r>
    </w:p>
    <w:p w:rsidR="00422843" w:rsidRPr="0029379A" w:rsidRDefault="00422843" w:rsidP="006E3737">
      <w:pPr>
        <w:widowControl w:val="0"/>
        <w:rPr>
          <w:rFonts w:cs="Arial"/>
        </w:rPr>
      </w:pPr>
      <w:r w:rsidRPr="0029379A">
        <w:rPr>
          <w:rFonts w:cs="Arial"/>
        </w:rPr>
        <w:t>The City of Santa Fe has always supported Public Service Programs through the City's Community Services Department as well as CDBG funding for eligible public services activities</w:t>
      </w:r>
      <w:r w:rsidR="00D3131E">
        <w:rPr>
          <w:rFonts w:cs="Arial"/>
        </w:rPr>
        <w:t xml:space="preserve">. </w:t>
      </w:r>
      <w:r w:rsidRPr="0029379A">
        <w:rPr>
          <w:rFonts w:cs="Arial"/>
        </w:rPr>
        <w:t xml:space="preserve">The Human Services Division awards </w:t>
      </w:r>
      <w:r w:rsidR="00991C8A">
        <w:rPr>
          <w:rFonts w:cs="Arial"/>
        </w:rPr>
        <w:t>over</w:t>
      </w:r>
      <w:r w:rsidRPr="0029379A">
        <w:rPr>
          <w:rFonts w:cs="Arial"/>
        </w:rPr>
        <w:t xml:space="preserve"> $700,000 annually to various non-profit organizations who provide the basic services of emergency shelter, accessibility to food and crisis services.  </w:t>
      </w:r>
      <w:r w:rsidR="00D3131E">
        <w:rPr>
          <w:rFonts w:cs="Arial"/>
        </w:rPr>
        <w:t>O</w:t>
      </w:r>
      <w:r w:rsidRPr="0029379A">
        <w:rPr>
          <w:rFonts w:cs="Arial"/>
        </w:rPr>
        <w:t>rganizations must have a physical location in the City and/or the County of Santa Fe</w:t>
      </w:r>
      <w:r w:rsidR="00453169">
        <w:rPr>
          <w:rFonts w:cs="Arial"/>
        </w:rPr>
        <w:t xml:space="preserve"> and provide direct services to the community. </w:t>
      </w:r>
      <w:r w:rsidRPr="0029379A">
        <w:rPr>
          <w:rFonts w:cs="Arial"/>
        </w:rPr>
        <w:t>The Human Services Committee sets the human services program priorities each year depending on the most significant need.</w:t>
      </w:r>
    </w:p>
    <w:p w:rsidR="00422843" w:rsidRPr="0029379A" w:rsidRDefault="00422843" w:rsidP="006E3737">
      <w:pPr>
        <w:widowControl w:val="0"/>
        <w:rPr>
          <w:rFonts w:cs="Arial"/>
        </w:rPr>
      </w:pPr>
      <w:r w:rsidRPr="0029379A">
        <w:rPr>
          <w:rFonts w:cs="Arial"/>
        </w:rPr>
        <w:t>The Children and Youth Commission funds non-profit and public school programs that serve children from birth to 21 years of age.  The Commission conducts an annual community needs assessment to determine emerging needs.  Contracts are awarded in the areas of early child care and education, healthy living, environmental education, youth leadership and meaningful work experience, and supplemental educational programs for students in the Sant</w:t>
      </w:r>
      <w:r w:rsidR="00453169">
        <w:rPr>
          <w:rFonts w:cs="Arial"/>
        </w:rPr>
        <w:t xml:space="preserve">a Fe Public Schools, of whom 75% </w:t>
      </w:r>
      <w:r w:rsidRPr="0029379A">
        <w:rPr>
          <w:rFonts w:cs="Arial"/>
        </w:rPr>
        <w:t>are eligible for subsidized meals.  The commission awards approximately $1 million per year to these organizations.</w:t>
      </w:r>
    </w:p>
    <w:p w:rsidR="006E3737" w:rsidRDefault="007137DF" w:rsidP="006E3737">
      <w:pPr>
        <w:widowControl w:val="0"/>
        <w:rPr>
          <w:b/>
          <w:sz w:val="24"/>
          <w:szCs w:val="24"/>
        </w:rPr>
      </w:pPr>
      <w:r>
        <w:rPr>
          <w:b/>
          <w:sz w:val="24"/>
          <w:szCs w:val="24"/>
        </w:rPr>
        <w:t>Actions taken to develop institutional structure. 91.220(k); 91.320(j)</w:t>
      </w:r>
      <w:r w:rsidR="006E3737">
        <w:rPr>
          <w:b/>
          <w:sz w:val="24"/>
          <w:szCs w:val="24"/>
        </w:rPr>
        <w:t xml:space="preserve">; and </w:t>
      </w:r>
      <w:r w:rsidR="00453169">
        <w:rPr>
          <w:b/>
          <w:sz w:val="24"/>
          <w:szCs w:val="24"/>
        </w:rPr>
        <w:t>a</w:t>
      </w:r>
      <w:r w:rsidR="006E3737">
        <w:rPr>
          <w:b/>
          <w:sz w:val="24"/>
          <w:szCs w:val="24"/>
        </w:rPr>
        <w:t>ctions taken to enhance coordination between public and private housing and social service agencies. 91.220(k); 91.320(j)</w:t>
      </w:r>
    </w:p>
    <w:p w:rsidR="006E3737" w:rsidRDefault="006E3737" w:rsidP="006E3737">
      <w:pPr>
        <w:widowControl w:val="0"/>
        <w:rPr>
          <w:rFonts w:cs="Arial"/>
        </w:rPr>
      </w:pPr>
      <w:r w:rsidRPr="0029379A">
        <w:rPr>
          <w:rFonts w:cs="Arial"/>
        </w:rPr>
        <w:t xml:space="preserve">The City of Santa Fe continuously carries out the priorities in the </w:t>
      </w:r>
      <w:r w:rsidRPr="0029379A">
        <w:rPr>
          <w:rFonts w:cs="Arial"/>
          <w:i/>
        </w:rPr>
        <w:t>2013-2017 Consolidated Plan</w:t>
      </w:r>
      <w:r w:rsidRPr="0029379A">
        <w:rPr>
          <w:rFonts w:cs="Arial"/>
        </w:rPr>
        <w:t xml:space="preserve"> by collaborating with non-profit partners.  The City's philosophy is to help build the capacity of community-based service providers, rather than to increase the size of the City's bureaucracy.  The City and its staff serve as advocates and coordinators for its partner nonprofits.  Another strength of this service delivery model is that a wide array of services is provided with little overlap because of the coordination between City departments as well as between the City and nonprofit partners.  This cooperation </w:t>
      </w:r>
      <w:r w:rsidR="00453169">
        <w:rPr>
          <w:rFonts w:cs="Arial"/>
        </w:rPr>
        <w:t>ensures</w:t>
      </w:r>
      <w:r w:rsidRPr="0029379A">
        <w:rPr>
          <w:rFonts w:cs="Arial"/>
        </w:rPr>
        <w:t xml:space="preserve"> that services reach those in most need, including homeless families and individuals and those in danger of </w:t>
      </w:r>
      <w:r w:rsidR="00453169">
        <w:rPr>
          <w:rFonts w:cs="Arial"/>
        </w:rPr>
        <w:t xml:space="preserve">becoming homeless – </w:t>
      </w:r>
      <w:r w:rsidRPr="0029379A">
        <w:rPr>
          <w:rFonts w:cs="Arial"/>
        </w:rPr>
        <w:t>veterans, senior citizens, victims of domestic violence, very low</w:t>
      </w:r>
      <w:r w:rsidR="00453169">
        <w:rPr>
          <w:rFonts w:cs="Arial"/>
        </w:rPr>
        <w:t xml:space="preserve">-income renters, at risk youth – </w:t>
      </w:r>
      <w:r w:rsidRPr="0029379A">
        <w:rPr>
          <w:rFonts w:cs="Arial"/>
        </w:rPr>
        <w:t>and people with special needs and disabilities.</w:t>
      </w:r>
      <w:r w:rsidR="00917698">
        <w:rPr>
          <w:rFonts w:cs="Arial"/>
        </w:rPr>
        <w:t xml:space="preserve">  </w:t>
      </w:r>
    </w:p>
    <w:p w:rsidR="00667C28" w:rsidRPr="00631BA7" w:rsidRDefault="007137DF">
      <w:pPr>
        <w:widowControl w:val="0"/>
        <w:rPr>
          <w:b/>
          <w:sz w:val="24"/>
          <w:szCs w:val="24"/>
        </w:rPr>
      </w:pPr>
      <w:r>
        <w:rPr>
          <w:b/>
          <w:sz w:val="24"/>
          <w:szCs w:val="24"/>
        </w:rPr>
        <w:t xml:space="preserve">Identify actions taken to overcome the effects of any impediments identified in the jurisdictions </w:t>
      </w:r>
      <w:r w:rsidR="003D2A74">
        <w:rPr>
          <w:b/>
          <w:sz w:val="24"/>
          <w:szCs w:val="24"/>
        </w:rPr>
        <w:t>A</w:t>
      </w:r>
      <w:r>
        <w:rPr>
          <w:b/>
          <w:sz w:val="24"/>
          <w:szCs w:val="24"/>
        </w:rPr>
        <w:t xml:space="preserve">nalysis of </w:t>
      </w:r>
      <w:r w:rsidR="003D2A74">
        <w:rPr>
          <w:b/>
          <w:sz w:val="24"/>
          <w:szCs w:val="24"/>
        </w:rPr>
        <w:t>I</w:t>
      </w:r>
      <w:r>
        <w:rPr>
          <w:b/>
          <w:sz w:val="24"/>
          <w:szCs w:val="24"/>
        </w:rPr>
        <w:t xml:space="preserve">mpediments </w:t>
      </w:r>
      <w:r w:rsidRPr="00631BA7">
        <w:rPr>
          <w:b/>
          <w:sz w:val="24"/>
          <w:szCs w:val="24"/>
        </w:rPr>
        <w:t xml:space="preserve">to </w:t>
      </w:r>
      <w:r w:rsidR="003D2A74">
        <w:rPr>
          <w:b/>
          <w:sz w:val="24"/>
          <w:szCs w:val="24"/>
        </w:rPr>
        <w:t>F</w:t>
      </w:r>
      <w:r w:rsidRPr="00631BA7">
        <w:rPr>
          <w:b/>
          <w:sz w:val="24"/>
          <w:szCs w:val="24"/>
        </w:rPr>
        <w:t xml:space="preserve">air </w:t>
      </w:r>
      <w:r w:rsidR="003D2A74">
        <w:rPr>
          <w:b/>
          <w:sz w:val="24"/>
          <w:szCs w:val="24"/>
        </w:rPr>
        <w:t>H</w:t>
      </w:r>
      <w:r w:rsidRPr="00631BA7">
        <w:rPr>
          <w:b/>
          <w:sz w:val="24"/>
          <w:szCs w:val="24"/>
        </w:rPr>
        <w:t xml:space="preserve">ousing </w:t>
      </w:r>
      <w:r w:rsidR="003D2A74">
        <w:rPr>
          <w:b/>
          <w:sz w:val="24"/>
          <w:szCs w:val="24"/>
        </w:rPr>
        <w:t>C</w:t>
      </w:r>
      <w:r w:rsidRPr="00631BA7">
        <w:rPr>
          <w:b/>
          <w:sz w:val="24"/>
          <w:szCs w:val="24"/>
        </w:rPr>
        <w:t>hoice</w:t>
      </w:r>
      <w:r w:rsidR="00453169">
        <w:rPr>
          <w:b/>
          <w:sz w:val="24"/>
          <w:szCs w:val="24"/>
        </w:rPr>
        <w:t xml:space="preserve"> (2016)</w:t>
      </w:r>
      <w:r w:rsidRPr="00631BA7">
        <w:rPr>
          <w:b/>
          <w:sz w:val="24"/>
          <w:szCs w:val="24"/>
        </w:rPr>
        <w:t>.  91.520(a)</w:t>
      </w:r>
    </w:p>
    <w:p w:rsidR="00453169" w:rsidRDefault="00453169" w:rsidP="00453169">
      <w:pPr>
        <w:pStyle w:val="Default"/>
        <w:spacing w:after="240" w:line="276" w:lineRule="auto"/>
        <w:rPr>
          <w:rFonts w:asciiTheme="minorHAnsi" w:hAnsiTheme="minorHAnsi" w:cs="Arial"/>
          <w:sz w:val="22"/>
          <w:szCs w:val="22"/>
        </w:rPr>
      </w:pPr>
      <w:r w:rsidRPr="00453169">
        <w:rPr>
          <w:rFonts w:asciiTheme="minorHAnsi" w:hAnsiTheme="minorHAnsi" w:cs="Arial"/>
          <w:sz w:val="22"/>
          <w:szCs w:val="22"/>
        </w:rPr>
        <w:t xml:space="preserve">The most recent Analysis of Impediments (AI) to Fair Housing Choice, completed in 2016, is a HUD-mandated review of impediments to fair housing choice in the public and private sector. </w:t>
      </w:r>
      <w:r>
        <w:rPr>
          <w:rFonts w:asciiTheme="minorHAnsi" w:hAnsiTheme="minorHAnsi" w:cs="Arial"/>
          <w:sz w:val="22"/>
          <w:szCs w:val="22"/>
        </w:rPr>
        <w:t xml:space="preserve">The AI is required for Santa Fe to receive federal Housing and community development block grant (CDBG) funding. </w:t>
      </w:r>
    </w:p>
    <w:p w:rsidR="00453169" w:rsidRPr="00453169" w:rsidRDefault="00453169" w:rsidP="00453169">
      <w:pPr>
        <w:pStyle w:val="Default"/>
        <w:spacing w:after="240" w:line="276" w:lineRule="auto"/>
        <w:rPr>
          <w:rFonts w:asciiTheme="minorHAnsi" w:hAnsiTheme="minorHAnsi"/>
          <w:sz w:val="22"/>
          <w:szCs w:val="22"/>
        </w:rPr>
      </w:pPr>
      <w:r w:rsidRPr="00453169">
        <w:rPr>
          <w:rFonts w:asciiTheme="minorHAnsi" w:hAnsiTheme="minorHAnsi"/>
          <w:sz w:val="22"/>
          <w:szCs w:val="22"/>
        </w:rPr>
        <w:lastRenderedPageBreak/>
        <w:t xml:space="preserve">According to HUD, impediments to fair housing choice are: </w:t>
      </w:r>
    </w:p>
    <w:p w:rsidR="00453169" w:rsidRDefault="00453169" w:rsidP="00453169">
      <w:pPr>
        <w:pStyle w:val="Default"/>
        <w:numPr>
          <w:ilvl w:val="0"/>
          <w:numId w:val="31"/>
        </w:numPr>
        <w:spacing w:line="276" w:lineRule="auto"/>
        <w:rPr>
          <w:rFonts w:asciiTheme="minorHAnsi" w:hAnsiTheme="minorHAnsi"/>
          <w:sz w:val="22"/>
          <w:szCs w:val="22"/>
        </w:rPr>
      </w:pPr>
      <w:r w:rsidRPr="00453169">
        <w:rPr>
          <w:rFonts w:asciiTheme="minorHAnsi" w:hAnsiTheme="minorHAnsi"/>
          <w:sz w:val="22"/>
          <w:szCs w:val="22"/>
        </w:rPr>
        <w:t xml:space="preserve">Any actions, omissions, or decisions </w:t>
      </w:r>
      <w:r w:rsidRPr="00453169">
        <w:rPr>
          <w:rFonts w:asciiTheme="minorHAnsi" w:hAnsiTheme="minorHAnsi"/>
          <w:i/>
          <w:iCs/>
          <w:sz w:val="22"/>
          <w:szCs w:val="22"/>
        </w:rPr>
        <w:t xml:space="preserve">taken because of </w:t>
      </w:r>
      <w:r w:rsidRPr="00453169">
        <w:rPr>
          <w:rFonts w:asciiTheme="minorHAnsi" w:hAnsiTheme="minorHAnsi"/>
          <w:sz w:val="22"/>
          <w:szCs w:val="22"/>
        </w:rPr>
        <w:t xml:space="preserve">race, color, religion, sex, disability, familial status or national origin that restrict housing choices or the availability of housing choices. </w:t>
      </w:r>
    </w:p>
    <w:p w:rsidR="00453169" w:rsidRPr="00453169" w:rsidRDefault="00453169" w:rsidP="00453169">
      <w:pPr>
        <w:pStyle w:val="Default"/>
        <w:numPr>
          <w:ilvl w:val="0"/>
          <w:numId w:val="31"/>
        </w:numPr>
        <w:spacing w:after="279" w:line="276" w:lineRule="auto"/>
        <w:rPr>
          <w:rFonts w:asciiTheme="minorHAnsi" w:hAnsiTheme="minorHAnsi"/>
          <w:sz w:val="22"/>
          <w:szCs w:val="22"/>
        </w:rPr>
      </w:pPr>
      <w:r w:rsidRPr="00453169">
        <w:rPr>
          <w:rFonts w:asciiTheme="minorHAnsi" w:hAnsiTheme="minorHAnsi"/>
          <w:sz w:val="22"/>
          <w:szCs w:val="22"/>
        </w:rPr>
        <w:t xml:space="preserve">Any actions, omissions or decisions that </w:t>
      </w:r>
      <w:r w:rsidRPr="00453169">
        <w:rPr>
          <w:rFonts w:asciiTheme="minorHAnsi" w:hAnsiTheme="minorHAnsi"/>
          <w:i/>
          <w:iCs/>
          <w:sz w:val="22"/>
          <w:szCs w:val="22"/>
        </w:rPr>
        <w:t xml:space="preserve">have the effect </w:t>
      </w:r>
      <w:r w:rsidRPr="00453169">
        <w:rPr>
          <w:rFonts w:asciiTheme="minorHAnsi" w:hAnsiTheme="minorHAnsi"/>
          <w:sz w:val="22"/>
          <w:szCs w:val="22"/>
        </w:rPr>
        <w:t xml:space="preserve">of restricting housing choices or the availability of housing choices on the basis of race, color, religion, sex, disability, familial status or national origin. </w:t>
      </w:r>
    </w:p>
    <w:p w:rsidR="00453169" w:rsidRDefault="00453169" w:rsidP="006E3737">
      <w:pPr>
        <w:widowControl w:val="0"/>
        <w:rPr>
          <w:rFonts w:cs="Arial"/>
        </w:rPr>
      </w:pPr>
      <w:r>
        <w:rPr>
          <w:rFonts w:cs="Arial"/>
        </w:rPr>
        <w:t xml:space="preserve">The AI examines the following: </w:t>
      </w:r>
    </w:p>
    <w:p w:rsidR="00453169" w:rsidRPr="00453169" w:rsidRDefault="00453169" w:rsidP="00453169">
      <w:pPr>
        <w:pStyle w:val="Default"/>
        <w:numPr>
          <w:ilvl w:val="0"/>
          <w:numId w:val="32"/>
        </w:numPr>
        <w:spacing w:line="276" w:lineRule="auto"/>
        <w:rPr>
          <w:rFonts w:asciiTheme="minorHAnsi" w:hAnsiTheme="minorHAnsi"/>
          <w:sz w:val="22"/>
          <w:szCs w:val="22"/>
        </w:rPr>
      </w:pPr>
      <w:r w:rsidRPr="00453169">
        <w:rPr>
          <w:rFonts w:asciiTheme="minorHAnsi" w:hAnsiTheme="minorHAnsi"/>
          <w:sz w:val="22"/>
          <w:szCs w:val="22"/>
        </w:rPr>
        <w:t xml:space="preserve">A review of a city’s laws, regulations, and administrative policies, procedures and practices; </w:t>
      </w:r>
    </w:p>
    <w:p w:rsidR="00453169" w:rsidRPr="00453169" w:rsidRDefault="00453169" w:rsidP="00453169">
      <w:pPr>
        <w:pStyle w:val="Default"/>
        <w:numPr>
          <w:ilvl w:val="0"/>
          <w:numId w:val="32"/>
        </w:numPr>
        <w:spacing w:line="276" w:lineRule="auto"/>
        <w:rPr>
          <w:rFonts w:asciiTheme="minorHAnsi" w:hAnsiTheme="minorHAnsi"/>
          <w:sz w:val="22"/>
          <w:szCs w:val="22"/>
        </w:rPr>
      </w:pPr>
      <w:r w:rsidRPr="00453169">
        <w:rPr>
          <w:rFonts w:asciiTheme="minorHAnsi" w:hAnsiTheme="minorHAnsi"/>
          <w:sz w:val="22"/>
          <w:szCs w:val="22"/>
        </w:rPr>
        <w:t xml:space="preserve">An assessment of how those laws, policies and practices affect the location, availability and accessibility of housing; and </w:t>
      </w:r>
    </w:p>
    <w:p w:rsidR="00453169" w:rsidRDefault="00453169" w:rsidP="00616EA7">
      <w:pPr>
        <w:pStyle w:val="Default"/>
        <w:numPr>
          <w:ilvl w:val="0"/>
          <w:numId w:val="32"/>
        </w:numPr>
        <w:spacing w:line="276" w:lineRule="auto"/>
        <w:rPr>
          <w:rFonts w:asciiTheme="minorHAnsi" w:hAnsiTheme="minorHAnsi"/>
          <w:sz w:val="22"/>
          <w:szCs w:val="22"/>
        </w:rPr>
      </w:pPr>
      <w:r w:rsidRPr="00453169">
        <w:rPr>
          <w:rFonts w:asciiTheme="minorHAnsi" w:hAnsiTheme="minorHAnsi"/>
          <w:sz w:val="22"/>
          <w:szCs w:val="22"/>
        </w:rPr>
        <w:t xml:space="preserve">An assessment of public and private sector conditions affecting fair housing choice. </w:t>
      </w:r>
    </w:p>
    <w:p w:rsidR="00616EA7" w:rsidRPr="00616EA7" w:rsidRDefault="00616EA7" w:rsidP="00616EA7">
      <w:pPr>
        <w:pStyle w:val="Default"/>
        <w:spacing w:line="276" w:lineRule="auto"/>
        <w:ind w:left="360"/>
        <w:rPr>
          <w:rFonts w:asciiTheme="minorHAnsi" w:hAnsiTheme="minorHAnsi"/>
          <w:sz w:val="22"/>
          <w:szCs w:val="22"/>
        </w:rPr>
      </w:pPr>
    </w:p>
    <w:p w:rsidR="00616EA7" w:rsidRPr="00616EA7" w:rsidRDefault="00616EA7" w:rsidP="00616EA7">
      <w:pPr>
        <w:pStyle w:val="Default"/>
        <w:spacing w:after="240" w:line="276" w:lineRule="auto"/>
        <w:rPr>
          <w:rFonts w:asciiTheme="minorHAnsi" w:hAnsiTheme="minorHAnsi"/>
          <w:sz w:val="22"/>
          <w:szCs w:val="22"/>
        </w:rPr>
      </w:pPr>
      <w:r w:rsidRPr="00616EA7">
        <w:rPr>
          <w:rFonts w:asciiTheme="minorHAnsi" w:hAnsiTheme="minorHAnsi"/>
          <w:sz w:val="22"/>
          <w:szCs w:val="22"/>
        </w:rPr>
        <w:t>Major finding</w:t>
      </w:r>
      <w:r>
        <w:rPr>
          <w:rFonts w:asciiTheme="minorHAnsi" w:hAnsiTheme="minorHAnsi"/>
          <w:sz w:val="22"/>
          <w:szCs w:val="22"/>
        </w:rPr>
        <w:t>s from the 2016 AI will be updated and enhanced through the 2017 Analysis of Fair Housing, including</w:t>
      </w:r>
      <w:r w:rsidRPr="00616EA7">
        <w:rPr>
          <w:rFonts w:asciiTheme="minorHAnsi" w:hAnsiTheme="minorHAnsi"/>
          <w:sz w:val="22"/>
          <w:szCs w:val="22"/>
        </w:rPr>
        <w:t xml:space="preserve">: </w:t>
      </w:r>
    </w:p>
    <w:p w:rsidR="00616EA7" w:rsidRPr="00616EA7" w:rsidRDefault="00616EA7" w:rsidP="00616EA7">
      <w:pPr>
        <w:pStyle w:val="Default"/>
        <w:numPr>
          <w:ilvl w:val="0"/>
          <w:numId w:val="35"/>
        </w:numPr>
        <w:spacing w:line="276" w:lineRule="auto"/>
        <w:rPr>
          <w:rFonts w:asciiTheme="minorHAnsi" w:hAnsiTheme="minorHAnsi"/>
          <w:sz w:val="22"/>
          <w:szCs w:val="22"/>
        </w:rPr>
      </w:pPr>
      <w:r w:rsidRPr="00616EA7">
        <w:rPr>
          <w:rFonts w:asciiTheme="minorHAnsi" w:hAnsiTheme="minorHAnsi"/>
          <w:sz w:val="22"/>
          <w:szCs w:val="22"/>
        </w:rPr>
        <w:t xml:space="preserve">Lack of affordable, housing located throughout Santa Fe is a major challenge and disproportionately affects some residents, especially individuals who need supportive services (persons with mental illness, persons with disabilities), persons with disabilities </w:t>
      </w:r>
      <w:r w:rsidRPr="00616EA7">
        <w:rPr>
          <w:rFonts w:asciiTheme="minorHAnsi" w:hAnsiTheme="minorHAnsi" w:cs="Times New Roman"/>
          <w:color w:val="auto"/>
          <w:sz w:val="22"/>
          <w:szCs w:val="22"/>
        </w:rPr>
        <w:t xml:space="preserve">transitioning out of institutions and nursing homes, and other residents with relatively low incomes (new immigrants, refugees). </w:t>
      </w:r>
    </w:p>
    <w:p w:rsidR="00616EA7" w:rsidRPr="00616EA7" w:rsidRDefault="00616EA7" w:rsidP="00616EA7">
      <w:pPr>
        <w:pStyle w:val="Default"/>
        <w:numPr>
          <w:ilvl w:val="0"/>
          <w:numId w:val="35"/>
        </w:numPr>
        <w:spacing w:line="276" w:lineRule="auto"/>
        <w:rPr>
          <w:rFonts w:asciiTheme="minorHAnsi" w:hAnsiTheme="minorHAnsi"/>
          <w:color w:val="auto"/>
          <w:sz w:val="22"/>
          <w:szCs w:val="22"/>
        </w:rPr>
      </w:pPr>
      <w:r w:rsidRPr="00616EA7">
        <w:rPr>
          <w:rFonts w:asciiTheme="minorHAnsi" w:hAnsiTheme="minorHAnsi"/>
          <w:color w:val="auto"/>
          <w:sz w:val="22"/>
          <w:szCs w:val="22"/>
        </w:rPr>
        <w:t xml:space="preserve">The ability to use Section 8 assistance is segregated to specific locations and not utilized in more expensive parts of town. </w:t>
      </w:r>
    </w:p>
    <w:p w:rsidR="00616EA7" w:rsidRPr="00616EA7" w:rsidRDefault="00616EA7" w:rsidP="00616EA7">
      <w:pPr>
        <w:pStyle w:val="Default"/>
        <w:numPr>
          <w:ilvl w:val="0"/>
          <w:numId w:val="35"/>
        </w:numPr>
        <w:spacing w:line="276" w:lineRule="auto"/>
        <w:rPr>
          <w:rFonts w:asciiTheme="minorHAnsi" w:hAnsiTheme="minorHAnsi"/>
          <w:color w:val="auto"/>
          <w:sz w:val="22"/>
          <w:szCs w:val="22"/>
        </w:rPr>
      </w:pPr>
      <w:r w:rsidRPr="00616EA7">
        <w:rPr>
          <w:rFonts w:asciiTheme="minorHAnsi" w:hAnsiTheme="minorHAnsi"/>
          <w:color w:val="auto"/>
          <w:sz w:val="22"/>
          <w:szCs w:val="22"/>
        </w:rPr>
        <w:t xml:space="preserve">Lack of case management or supportive services can create barriers to housing choice because 1) residents needing services paired with housing may not be able to live in all areas of the city, and 2) case managers can be critical in helping residents with special needs assess housing. </w:t>
      </w:r>
    </w:p>
    <w:p w:rsidR="00616EA7" w:rsidRPr="00616EA7" w:rsidRDefault="00616EA7" w:rsidP="00616EA7">
      <w:pPr>
        <w:pStyle w:val="Default"/>
        <w:numPr>
          <w:ilvl w:val="0"/>
          <w:numId w:val="35"/>
        </w:numPr>
        <w:spacing w:line="276" w:lineRule="auto"/>
        <w:rPr>
          <w:rFonts w:asciiTheme="minorHAnsi" w:hAnsiTheme="minorHAnsi"/>
          <w:color w:val="auto"/>
          <w:sz w:val="22"/>
          <w:szCs w:val="22"/>
        </w:rPr>
      </w:pPr>
      <w:r w:rsidRPr="00616EA7">
        <w:rPr>
          <w:rFonts w:asciiTheme="minorHAnsi" w:hAnsiTheme="minorHAnsi"/>
          <w:color w:val="auto"/>
          <w:sz w:val="22"/>
          <w:szCs w:val="22"/>
        </w:rPr>
        <w:t xml:space="preserve">The HUD provided Opportunity Indices show that Hispanic populations experience some of the lowest access to opportunity, particularly in the low poverty, school proficiency and labor market indexes. The indicators in Santa Fe that are of most concern are poverty and school proficiency, both of which show considerably low access to opportunity. </w:t>
      </w:r>
    </w:p>
    <w:p w:rsidR="00616EA7" w:rsidRDefault="00616EA7" w:rsidP="00616EA7">
      <w:pPr>
        <w:pStyle w:val="Default"/>
        <w:numPr>
          <w:ilvl w:val="0"/>
          <w:numId w:val="35"/>
        </w:numPr>
        <w:spacing w:line="276" w:lineRule="auto"/>
        <w:rPr>
          <w:rFonts w:asciiTheme="minorHAnsi" w:hAnsiTheme="minorHAnsi"/>
          <w:color w:val="auto"/>
          <w:sz w:val="22"/>
          <w:szCs w:val="22"/>
        </w:rPr>
      </w:pPr>
      <w:r w:rsidRPr="00616EA7">
        <w:rPr>
          <w:rFonts w:asciiTheme="minorHAnsi" w:hAnsiTheme="minorHAnsi"/>
          <w:color w:val="auto"/>
          <w:sz w:val="22"/>
          <w:szCs w:val="22"/>
        </w:rPr>
        <w:t xml:space="preserve">According to stakeholders and residents, lack of access to opportunity is affected by infrequent public transportation services to higher opportunity neighborhoods and destinations outside of core service areas (e.g., county social services office), limited hours and days of operation of some routes, lack of holiday service, etc. </w:t>
      </w:r>
    </w:p>
    <w:p w:rsidR="00616EA7" w:rsidRPr="00616EA7" w:rsidRDefault="00616EA7" w:rsidP="00616EA7">
      <w:pPr>
        <w:pStyle w:val="Default"/>
        <w:numPr>
          <w:ilvl w:val="0"/>
          <w:numId w:val="35"/>
        </w:numPr>
        <w:spacing w:after="240" w:line="276" w:lineRule="auto"/>
        <w:rPr>
          <w:rFonts w:asciiTheme="minorHAnsi" w:hAnsiTheme="minorHAnsi"/>
          <w:color w:val="auto"/>
          <w:sz w:val="22"/>
          <w:szCs w:val="22"/>
        </w:rPr>
      </w:pPr>
      <w:r w:rsidRPr="00616EA7">
        <w:rPr>
          <w:rFonts w:asciiTheme="minorHAnsi" w:hAnsiTheme="minorHAnsi"/>
          <w:color w:val="auto"/>
          <w:sz w:val="22"/>
          <w:szCs w:val="22"/>
        </w:rPr>
        <w:t xml:space="preserve">Access to opportunity barriers are created by lack of well-paying and stable job opportunities. </w:t>
      </w:r>
    </w:p>
    <w:p w:rsidR="0078251F" w:rsidRPr="0078251F" w:rsidRDefault="0078251F" w:rsidP="0078251F">
      <w:pPr>
        <w:pStyle w:val="Default"/>
        <w:spacing w:after="240" w:line="276" w:lineRule="auto"/>
        <w:rPr>
          <w:rFonts w:asciiTheme="minorHAnsi" w:hAnsiTheme="minorHAnsi"/>
          <w:sz w:val="22"/>
          <w:szCs w:val="22"/>
        </w:rPr>
      </w:pPr>
      <w:r>
        <w:rPr>
          <w:rFonts w:asciiTheme="minorHAnsi" w:hAnsiTheme="minorHAnsi"/>
          <w:sz w:val="22"/>
          <w:szCs w:val="22"/>
        </w:rPr>
        <w:t>The</w:t>
      </w:r>
      <w:r w:rsidRPr="0078251F">
        <w:rPr>
          <w:rFonts w:asciiTheme="minorHAnsi" w:hAnsiTheme="minorHAnsi"/>
          <w:sz w:val="22"/>
          <w:szCs w:val="22"/>
        </w:rPr>
        <w:t xml:space="preserve"> city’s efforts to address barriers have focused on improving access to fair housing information, enhancing resident knowledge of fair housing rights and empowering residents to take action when they perceive a fair housing violation. These efforts have included: </w:t>
      </w:r>
    </w:p>
    <w:p w:rsidR="0078251F" w:rsidRPr="0078251F" w:rsidRDefault="0078251F" w:rsidP="00616EA7">
      <w:pPr>
        <w:pStyle w:val="Default"/>
        <w:numPr>
          <w:ilvl w:val="0"/>
          <w:numId w:val="33"/>
        </w:numPr>
        <w:spacing w:after="240" w:line="276" w:lineRule="auto"/>
        <w:rPr>
          <w:rFonts w:asciiTheme="minorHAnsi" w:hAnsiTheme="minorHAnsi"/>
          <w:sz w:val="22"/>
          <w:szCs w:val="22"/>
        </w:rPr>
      </w:pPr>
      <w:r w:rsidRPr="0078251F">
        <w:rPr>
          <w:rFonts w:asciiTheme="minorHAnsi" w:hAnsiTheme="minorHAnsi"/>
          <w:sz w:val="22"/>
          <w:szCs w:val="22"/>
        </w:rPr>
        <w:lastRenderedPageBreak/>
        <w:t xml:space="preserve">Preparation of outreach materials regarding housing laws including the Federal Fair Housing Act, the New Mexico Uniform Owner Resident Relations Act (UORRA) and the state Mobile Home Act. The outreach materials consist of Fair Housing Frequently Asked Questions brochures in English and Spanish and a tenant rights “Novella,” both in Spanish and English </w:t>
      </w:r>
      <w:r>
        <w:rPr>
          <w:rFonts w:asciiTheme="minorHAnsi" w:hAnsiTheme="minorHAnsi"/>
          <w:sz w:val="22"/>
          <w:szCs w:val="22"/>
        </w:rPr>
        <w:t xml:space="preserve">called </w:t>
      </w:r>
      <w:r w:rsidR="00616EA7">
        <w:rPr>
          <w:rFonts w:asciiTheme="minorHAnsi" w:hAnsiTheme="minorHAnsi"/>
          <w:sz w:val="22"/>
          <w:szCs w:val="22"/>
        </w:rPr>
        <w:t>“Tino the Tenant”/</w:t>
      </w:r>
      <w:r w:rsidR="00616EA7" w:rsidRPr="0078251F">
        <w:rPr>
          <w:rFonts w:asciiTheme="minorHAnsi" w:hAnsiTheme="minorHAnsi"/>
          <w:sz w:val="22"/>
          <w:szCs w:val="22"/>
        </w:rPr>
        <w:t xml:space="preserve">"Tino el Inquilino", a story about a tenant who shares his own discrimination experiences with a group of acquaintances. </w:t>
      </w:r>
      <w:r>
        <w:rPr>
          <w:rFonts w:asciiTheme="minorHAnsi" w:hAnsiTheme="minorHAnsi"/>
          <w:sz w:val="22"/>
          <w:szCs w:val="22"/>
        </w:rPr>
        <w:t>D</w:t>
      </w:r>
      <w:r w:rsidRPr="0078251F">
        <w:rPr>
          <w:rFonts w:asciiTheme="minorHAnsi" w:hAnsiTheme="minorHAnsi"/>
          <w:sz w:val="22"/>
          <w:szCs w:val="22"/>
        </w:rPr>
        <w:t xml:space="preserve">istribution </w:t>
      </w:r>
      <w:r>
        <w:rPr>
          <w:rFonts w:asciiTheme="minorHAnsi" w:hAnsiTheme="minorHAnsi"/>
          <w:sz w:val="22"/>
          <w:szCs w:val="22"/>
        </w:rPr>
        <w:t xml:space="preserve">is ongoing </w:t>
      </w:r>
      <w:r w:rsidRPr="0078251F">
        <w:rPr>
          <w:rFonts w:asciiTheme="minorHAnsi" w:hAnsiTheme="minorHAnsi"/>
          <w:sz w:val="22"/>
          <w:szCs w:val="22"/>
        </w:rPr>
        <w:t xml:space="preserve">throughout the year predominantly in Spanish-speaking and lower income neighborhoods as well as through school liaisons with the Santa Fe Public Schools and community facilities throughout the city. </w:t>
      </w:r>
    </w:p>
    <w:p w:rsidR="0078251F" w:rsidRPr="0078251F" w:rsidRDefault="0078251F" w:rsidP="00616EA7">
      <w:pPr>
        <w:pStyle w:val="Default"/>
        <w:numPr>
          <w:ilvl w:val="0"/>
          <w:numId w:val="33"/>
        </w:numPr>
        <w:spacing w:after="240" w:line="276" w:lineRule="auto"/>
        <w:rPr>
          <w:rFonts w:asciiTheme="minorHAnsi" w:hAnsiTheme="minorHAnsi"/>
          <w:sz w:val="22"/>
          <w:szCs w:val="22"/>
        </w:rPr>
      </w:pPr>
      <w:r w:rsidRPr="0078251F">
        <w:rPr>
          <w:rFonts w:asciiTheme="minorHAnsi" w:hAnsiTheme="minorHAnsi"/>
          <w:sz w:val="22"/>
          <w:szCs w:val="22"/>
        </w:rPr>
        <w:t xml:space="preserve">In March 2016, the city hosted a fair housing consultant funded by the HUD Fair Housing Initiatives Program (FHIP) grant. This training was attended by 19 individuals representing several non-profit housing service providers in Santa Fe. The city also co-sponsored a training with the New Mexico Finance Authority for nonprofit partners; 30 people attended. </w:t>
      </w:r>
    </w:p>
    <w:p w:rsidR="0078251F" w:rsidRPr="0078251F" w:rsidRDefault="0078251F" w:rsidP="00616EA7">
      <w:pPr>
        <w:pStyle w:val="Default"/>
        <w:numPr>
          <w:ilvl w:val="0"/>
          <w:numId w:val="33"/>
        </w:numPr>
        <w:spacing w:after="240" w:line="276" w:lineRule="auto"/>
        <w:rPr>
          <w:rFonts w:asciiTheme="minorHAnsi" w:hAnsiTheme="minorHAnsi"/>
          <w:sz w:val="22"/>
          <w:szCs w:val="22"/>
        </w:rPr>
      </w:pPr>
      <w:r w:rsidRPr="0078251F">
        <w:rPr>
          <w:rFonts w:asciiTheme="minorHAnsi" w:hAnsiTheme="minorHAnsi"/>
          <w:sz w:val="22"/>
          <w:szCs w:val="22"/>
        </w:rPr>
        <w:t xml:space="preserve">The Office of Affordable Housing has reached out to the Santa Fe Public Schools to establish a distribution plan for fair housing materials. City staff met with the Communities and Schools New Mexico School Outreach Coordinators of 11 schools at their annual retreat to present fair housing activities and distribute literature. The OAH conducted an outreach campaign to educate the public about affordable housing and fair housing issues continues to distribute the Fair Housing Frequently Asked Questions brochure in Spanish along with the "Tino el Inquilino" </w:t>
      </w:r>
      <w:r w:rsidR="00616EA7">
        <w:rPr>
          <w:rFonts w:asciiTheme="minorHAnsi" w:hAnsiTheme="minorHAnsi"/>
          <w:sz w:val="22"/>
          <w:szCs w:val="22"/>
        </w:rPr>
        <w:t xml:space="preserve">(“Tino the Tenant”) </w:t>
      </w:r>
      <w:r w:rsidRPr="0078251F">
        <w:rPr>
          <w:rFonts w:asciiTheme="minorHAnsi" w:hAnsiTheme="minorHAnsi"/>
          <w:sz w:val="22"/>
          <w:szCs w:val="22"/>
        </w:rPr>
        <w:t>Novella</w:t>
      </w:r>
      <w:r w:rsidR="00616EA7">
        <w:rPr>
          <w:rFonts w:asciiTheme="minorHAnsi" w:hAnsiTheme="minorHAnsi"/>
          <w:sz w:val="22"/>
          <w:szCs w:val="22"/>
        </w:rPr>
        <w:t xml:space="preserve">. </w:t>
      </w:r>
      <w:r w:rsidRPr="0078251F">
        <w:rPr>
          <w:rFonts w:asciiTheme="minorHAnsi" w:hAnsiTheme="minorHAnsi"/>
          <w:sz w:val="22"/>
          <w:szCs w:val="22"/>
        </w:rPr>
        <w:t xml:space="preserve">Distribution is an ongoing effort to public schools, public libraries, city facilities, private non-profits and bilingual local businesses. </w:t>
      </w:r>
    </w:p>
    <w:p w:rsidR="0078251F" w:rsidRPr="0078251F" w:rsidRDefault="0078251F" w:rsidP="00616EA7">
      <w:pPr>
        <w:pStyle w:val="Default"/>
        <w:numPr>
          <w:ilvl w:val="0"/>
          <w:numId w:val="33"/>
        </w:numPr>
        <w:spacing w:after="240" w:line="276" w:lineRule="auto"/>
        <w:rPr>
          <w:rFonts w:asciiTheme="minorHAnsi" w:hAnsiTheme="minorHAnsi"/>
          <w:sz w:val="22"/>
          <w:szCs w:val="22"/>
        </w:rPr>
      </w:pPr>
      <w:r w:rsidRPr="0078251F">
        <w:rPr>
          <w:rFonts w:asciiTheme="minorHAnsi" w:hAnsiTheme="minorHAnsi"/>
          <w:sz w:val="22"/>
          <w:szCs w:val="22"/>
        </w:rPr>
        <w:t xml:space="preserve">The City of Santa Fe has committed funding or matched resources (meeting facilities), conditional on finalized budgets, to fair housing consultants to conduct fair housing training for lenders and apartment managers. </w:t>
      </w:r>
    </w:p>
    <w:p w:rsidR="00667C28" w:rsidRDefault="007137DF">
      <w:pPr>
        <w:pStyle w:val="Heading2"/>
        <w:pageBreakBefore/>
        <w:widowControl w:val="0"/>
        <w:rPr>
          <w:rFonts w:ascii="Calibri" w:hAnsi="Calibri"/>
          <w:i w:val="0"/>
        </w:rPr>
      </w:pPr>
      <w:bookmarkStart w:id="11" w:name="_Toc426364870"/>
      <w:r>
        <w:rPr>
          <w:rFonts w:ascii="Calibri" w:hAnsi="Calibri"/>
          <w:i w:val="0"/>
        </w:rPr>
        <w:lastRenderedPageBreak/>
        <w:t>CR-40 - Monitoring 91.220 and 91.230</w:t>
      </w:r>
      <w:bookmarkEnd w:id="11"/>
    </w:p>
    <w:p w:rsidR="00667C28" w:rsidRDefault="007137DF">
      <w:pPr>
        <w:widowControl w:val="0"/>
        <w:rPr>
          <w:b/>
          <w:sz w:val="24"/>
          <w:szCs w:val="24"/>
        </w:rPr>
      </w:pPr>
      <w:r>
        <w:rPr>
          <w:b/>
          <w:sz w:val="24"/>
          <w:szCs w:val="24"/>
        </w:rPr>
        <w:t>Describe the standards and procedures used to monitor activities carried out in furtherance of the plan and used to ensure long-term compliance with requirements of the programs involved, including minority business outreach and the comprehensive planning requirements</w:t>
      </w:r>
    </w:p>
    <w:p w:rsidR="00AB7B2E" w:rsidRPr="0029379A" w:rsidRDefault="00AB7B2E" w:rsidP="00AB7B2E">
      <w:pPr>
        <w:widowControl w:val="0"/>
        <w:spacing w:beforeAutospacing="1" w:afterAutospacing="1"/>
        <w:rPr>
          <w:rFonts w:cs="Arial"/>
          <w:b/>
        </w:rPr>
      </w:pPr>
      <w:r w:rsidRPr="0029379A">
        <w:rPr>
          <w:rFonts w:cs="Arial"/>
          <w:b/>
        </w:rPr>
        <w:t>CDBG Program Monitoring Requirements and Frequency</w:t>
      </w:r>
    </w:p>
    <w:p w:rsidR="009C3D7E" w:rsidRDefault="00AB7B2E" w:rsidP="004B24CD">
      <w:pPr>
        <w:widowControl w:val="0"/>
        <w:spacing w:before="100" w:beforeAutospacing="1" w:after="100" w:afterAutospacing="1"/>
        <w:rPr>
          <w:rFonts w:cs="Arial"/>
        </w:rPr>
      </w:pPr>
      <w:r w:rsidRPr="0029379A">
        <w:rPr>
          <w:rFonts w:cs="Arial"/>
        </w:rPr>
        <w:t>The CDBG Administrator, in charge of the CDBG program, monitors program service providers, or sub-recipients funded by CDBG to ensure compliance with requirements through site inspections and documentation of organizational structures, with applicability to HUD national objectives and scope of work.  The City of Santa Fe utilizes HUD’s</w:t>
      </w:r>
      <w:r w:rsidR="009C3D7E">
        <w:rPr>
          <w:rFonts w:cs="Arial"/>
        </w:rPr>
        <w:t xml:space="preserve"> following guides</w:t>
      </w:r>
      <w:r w:rsidR="009C3D7E" w:rsidRPr="009C3D7E">
        <w:rPr>
          <w:rFonts w:cs="Arial"/>
        </w:rPr>
        <w:t xml:space="preserve"> to ensure compliance</w:t>
      </w:r>
      <w:r w:rsidR="00D518CE">
        <w:rPr>
          <w:rFonts w:cs="Arial"/>
        </w:rPr>
        <w:t>:</w:t>
      </w:r>
    </w:p>
    <w:p w:rsidR="009C3D7E" w:rsidRDefault="00AB7B2E" w:rsidP="004B24CD">
      <w:pPr>
        <w:pStyle w:val="ListParagraph"/>
        <w:widowControl w:val="0"/>
        <w:numPr>
          <w:ilvl w:val="0"/>
          <w:numId w:val="22"/>
        </w:numPr>
        <w:spacing w:before="100" w:beforeAutospacing="1" w:after="100" w:afterAutospacing="1"/>
        <w:rPr>
          <w:rFonts w:cs="Arial"/>
        </w:rPr>
      </w:pPr>
      <w:r w:rsidRPr="009C3D7E">
        <w:rPr>
          <w:rFonts w:cs="Arial"/>
        </w:rPr>
        <w:t xml:space="preserve">“Guidebook for Grantee’s on Sub-recipient Oversight”, </w:t>
      </w:r>
    </w:p>
    <w:p w:rsidR="00F0226C" w:rsidRDefault="00F0226C" w:rsidP="004B24CD">
      <w:pPr>
        <w:pStyle w:val="ListParagraph"/>
        <w:widowControl w:val="0"/>
        <w:numPr>
          <w:ilvl w:val="0"/>
          <w:numId w:val="22"/>
        </w:numPr>
        <w:spacing w:before="100" w:beforeAutospacing="1" w:after="100" w:afterAutospacing="1"/>
        <w:rPr>
          <w:rFonts w:cs="Arial"/>
        </w:rPr>
      </w:pPr>
      <w:r>
        <w:rPr>
          <w:rFonts w:cs="Arial"/>
        </w:rPr>
        <w:t>CPD Monitoring Handbook</w:t>
      </w:r>
    </w:p>
    <w:p w:rsidR="009C3D7E" w:rsidRDefault="00AB7B2E" w:rsidP="004B24CD">
      <w:pPr>
        <w:pStyle w:val="ListParagraph"/>
        <w:widowControl w:val="0"/>
        <w:numPr>
          <w:ilvl w:val="0"/>
          <w:numId w:val="22"/>
        </w:numPr>
        <w:spacing w:before="100" w:beforeAutospacing="1" w:after="100" w:afterAutospacing="1"/>
        <w:rPr>
          <w:rFonts w:cs="Arial"/>
        </w:rPr>
      </w:pPr>
      <w:r w:rsidRPr="009C3D7E">
        <w:rPr>
          <w:rFonts w:cs="Arial"/>
        </w:rPr>
        <w:t>“Managing CDBG”</w:t>
      </w:r>
    </w:p>
    <w:p w:rsidR="00AB7B2E" w:rsidRDefault="00AB7B2E" w:rsidP="004B24CD">
      <w:pPr>
        <w:pStyle w:val="ListParagraph"/>
        <w:widowControl w:val="0"/>
        <w:numPr>
          <w:ilvl w:val="0"/>
          <w:numId w:val="22"/>
        </w:numPr>
        <w:spacing w:before="100" w:beforeAutospacing="1" w:after="100" w:afterAutospacing="1"/>
        <w:rPr>
          <w:rFonts w:cs="Arial"/>
        </w:rPr>
      </w:pPr>
      <w:r w:rsidRPr="009C3D7E">
        <w:rPr>
          <w:rFonts w:cs="Arial"/>
        </w:rPr>
        <w:t xml:space="preserve"> “Ensuring CDBG Sub-recipient Timeliness Guidelines” </w:t>
      </w:r>
    </w:p>
    <w:p w:rsidR="009C3D7E" w:rsidRDefault="009C3D7E" w:rsidP="004B24CD">
      <w:pPr>
        <w:pStyle w:val="ListParagraph"/>
        <w:widowControl w:val="0"/>
        <w:numPr>
          <w:ilvl w:val="0"/>
          <w:numId w:val="22"/>
        </w:numPr>
        <w:spacing w:before="100" w:beforeAutospacing="1" w:after="100" w:afterAutospacing="1"/>
        <w:rPr>
          <w:rFonts w:cs="Arial"/>
        </w:rPr>
      </w:pPr>
      <w:r>
        <w:rPr>
          <w:rFonts w:cs="Arial"/>
        </w:rPr>
        <w:t>CFR 570 Federal Regulation governing CDBG</w:t>
      </w:r>
      <w:r w:rsidR="00F0226C">
        <w:rPr>
          <w:rFonts w:cs="Arial"/>
        </w:rPr>
        <w:t xml:space="preserve"> and including Part 58 governing Environmental Reviews</w:t>
      </w:r>
    </w:p>
    <w:p w:rsidR="009C3D7E" w:rsidRDefault="009C3D7E" w:rsidP="004B24CD">
      <w:pPr>
        <w:pStyle w:val="ListParagraph"/>
        <w:widowControl w:val="0"/>
        <w:numPr>
          <w:ilvl w:val="0"/>
          <w:numId w:val="22"/>
        </w:numPr>
        <w:spacing w:before="100" w:beforeAutospacing="1" w:after="100" w:afterAutospacing="1"/>
        <w:rPr>
          <w:rFonts w:cs="Arial"/>
        </w:rPr>
      </w:pPr>
      <w:r>
        <w:rPr>
          <w:rFonts w:cs="Arial"/>
        </w:rPr>
        <w:t>Davis Bacon fair wage resources via the Department of Labor</w:t>
      </w:r>
    </w:p>
    <w:p w:rsidR="009C3D7E" w:rsidRPr="009C3D7E" w:rsidRDefault="009C3D7E" w:rsidP="004B24CD">
      <w:pPr>
        <w:widowControl w:val="0"/>
        <w:spacing w:before="100" w:beforeAutospacing="1" w:after="100" w:afterAutospacing="1"/>
        <w:rPr>
          <w:rFonts w:cs="Arial"/>
        </w:rPr>
      </w:pPr>
      <w:r>
        <w:rPr>
          <w:rFonts w:cs="Arial"/>
        </w:rPr>
        <w:t xml:space="preserve">Additionally, the Office of Affordable Housing </w:t>
      </w:r>
      <w:r w:rsidR="00F0226C">
        <w:rPr>
          <w:rFonts w:cs="Arial"/>
        </w:rPr>
        <w:t>attends</w:t>
      </w:r>
      <w:r w:rsidRPr="009C3D7E">
        <w:rPr>
          <w:rFonts w:cs="Arial"/>
        </w:rPr>
        <w:t xml:space="preserve"> technical assi</w:t>
      </w:r>
      <w:r>
        <w:rPr>
          <w:rFonts w:cs="Arial"/>
        </w:rPr>
        <w:t>s</w:t>
      </w:r>
      <w:r w:rsidR="006033BB">
        <w:rPr>
          <w:rFonts w:cs="Arial"/>
        </w:rPr>
        <w:t xml:space="preserve">tance trainings in monitoring, </w:t>
      </w:r>
      <w:r>
        <w:rPr>
          <w:rFonts w:cs="Arial"/>
        </w:rPr>
        <w:t>sub-recipient oversight and fair housing</w:t>
      </w:r>
      <w:r w:rsidR="00F0226C">
        <w:rPr>
          <w:rFonts w:cs="Arial"/>
        </w:rPr>
        <w:t xml:space="preserve"> throughout the year</w:t>
      </w:r>
      <w:r>
        <w:rPr>
          <w:rFonts w:cs="Arial"/>
        </w:rPr>
        <w:t>.</w:t>
      </w:r>
    </w:p>
    <w:p w:rsidR="00AB7B2E" w:rsidRPr="0029379A" w:rsidRDefault="00AB7B2E" w:rsidP="00AB7B2E">
      <w:pPr>
        <w:widowControl w:val="0"/>
        <w:spacing w:beforeAutospacing="1" w:afterAutospacing="1"/>
        <w:rPr>
          <w:rFonts w:cs="Arial"/>
          <w:b/>
        </w:rPr>
      </w:pPr>
      <w:r w:rsidRPr="0029379A">
        <w:rPr>
          <w:rFonts w:cs="Arial"/>
          <w:b/>
        </w:rPr>
        <w:t>Committee Meetings</w:t>
      </w:r>
    </w:p>
    <w:p w:rsidR="00AB7B2E" w:rsidRPr="0029379A" w:rsidRDefault="00AB7B2E" w:rsidP="009C3D7E">
      <w:pPr>
        <w:widowControl w:val="0"/>
        <w:rPr>
          <w:rFonts w:cs="Arial"/>
        </w:rPr>
      </w:pPr>
      <w:r>
        <w:rPr>
          <w:rFonts w:cs="Arial"/>
        </w:rPr>
        <w:t xml:space="preserve">The </w:t>
      </w:r>
      <w:r w:rsidRPr="0029379A">
        <w:rPr>
          <w:rFonts w:cs="Arial"/>
        </w:rPr>
        <w:t xml:space="preserve">Community Development Commission (CDC) </w:t>
      </w:r>
      <w:r>
        <w:rPr>
          <w:rFonts w:cs="Arial"/>
        </w:rPr>
        <w:t xml:space="preserve">is the advisory body to the City of Santa Fe Mayor and City Council on CDBG funding allocation decisions and priorities in adherence to the 2013-2017 Consolidated Plan.  </w:t>
      </w:r>
      <w:r w:rsidRPr="0029379A">
        <w:rPr>
          <w:rFonts w:cs="Arial"/>
        </w:rPr>
        <w:t xml:space="preserve">The staff liaison for the </w:t>
      </w:r>
      <w:r>
        <w:rPr>
          <w:rFonts w:cs="Arial"/>
        </w:rPr>
        <w:t xml:space="preserve">CDC </w:t>
      </w:r>
      <w:r w:rsidRPr="0029379A">
        <w:rPr>
          <w:rFonts w:cs="Arial"/>
        </w:rPr>
        <w:t>is</w:t>
      </w:r>
      <w:r>
        <w:rPr>
          <w:rFonts w:cs="Arial"/>
        </w:rPr>
        <w:t xml:space="preserve"> also the CDBG Administrator and is</w:t>
      </w:r>
      <w:r w:rsidRPr="0029379A">
        <w:rPr>
          <w:rFonts w:cs="Arial"/>
        </w:rPr>
        <w:t xml:space="preserve"> responsible for coordinating, ad</w:t>
      </w:r>
      <w:r w:rsidR="009C3D7E">
        <w:rPr>
          <w:rFonts w:cs="Arial"/>
        </w:rPr>
        <w:t>vertising</w:t>
      </w:r>
      <w:r w:rsidRPr="0029379A">
        <w:rPr>
          <w:rFonts w:cs="Arial"/>
        </w:rPr>
        <w:t xml:space="preserve"> and </w:t>
      </w:r>
      <w:r w:rsidR="009C3D7E">
        <w:rPr>
          <w:rFonts w:cs="Arial"/>
        </w:rPr>
        <w:t>publishing</w:t>
      </w:r>
      <w:r w:rsidRPr="0029379A">
        <w:rPr>
          <w:rFonts w:cs="Arial"/>
        </w:rPr>
        <w:t xml:space="preserve"> the Consolidated Plan, Action Plan and CAPERs</w:t>
      </w:r>
      <w:r w:rsidR="0004292C">
        <w:rPr>
          <w:rFonts w:cs="Arial"/>
        </w:rPr>
        <w:t xml:space="preserve">.  The CDC </w:t>
      </w:r>
      <w:r w:rsidR="00D3131E">
        <w:rPr>
          <w:rFonts w:cs="Arial"/>
        </w:rPr>
        <w:t>reviews</w:t>
      </w:r>
      <w:r w:rsidR="00F91BC8">
        <w:rPr>
          <w:rFonts w:cs="Arial"/>
        </w:rPr>
        <w:t xml:space="preserve"> </w:t>
      </w:r>
      <w:r w:rsidR="0004292C">
        <w:rPr>
          <w:rFonts w:cs="Arial"/>
        </w:rPr>
        <w:t>Housing Needs Assessment updates, Analysis of Impediments to Fair Housing updates, and the upcoming Assessment of Fair Housing in 2017</w:t>
      </w:r>
      <w:r>
        <w:rPr>
          <w:rFonts w:cs="Arial"/>
        </w:rPr>
        <w:t xml:space="preserve">.  </w:t>
      </w:r>
      <w:r w:rsidR="0004292C">
        <w:rPr>
          <w:rFonts w:cs="Arial"/>
        </w:rPr>
        <w:t xml:space="preserve">  </w:t>
      </w:r>
    </w:p>
    <w:p w:rsidR="00AB7B2E" w:rsidRPr="0029379A" w:rsidRDefault="00AB7B2E" w:rsidP="004B24CD">
      <w:pPr>
        <w:widowControl w:val="0"/>
        <w:spacing w:beforeAutospacing="1" w:afterAutospacing="1"/>
        <w:rPr>
          <w:rFonts w:cs="Arial"/>
          <w:b/>
        </w:rPr>
      </w:pPr>
      <w:r w:rsidRPr="0029379A">
        <w:rPr>
          <w:rFonts w:cs="Arial"/>
          <w:b/>
        </w:rPr>
        <w:t>Site Visits</w:t>
      </w:r>
    </w:p>
    <w:p w:rsidR="00483D68" w:rsidRDefault="009E7923" w:rsidP="004B24CD">
      <w:pPr>
        <w:widowControl w:val="0"/>
        <w:spacing w:before="100" w:beforeAutospacing="1" w:after="100" w:afterAutospacing="1"/>
        <w:rPr>
          <w:rFonts w:cs="Arial"/>
        </w:rPr>
      </w:pPr>
      <w:r w:rsidRPr="009E7923">
        <w:rPr>
          <w:rFonts w:cs="Arial"/>
        </w:rPr>
        <w:t>By the time this report is submitted to HUD, s</w:t>
      </w:r>
      <w:r w:rsidR="00AB7B2E" w:rsidRPr="009E7923">
        <w:rPr>
          <w:rFonts w:cs="Arial"/>
        </w:rPr>
        <w:t xml:space="preserve">ite monitoring  </w:t>
      </w:r>
      <w:r w:rsidR="00D3131E">
        <w:rPr>
          <w:rFonts w:cs="Arial"/>
        </w:rPr>
        <w:t xml:space="preserve">visits </w:t>
      </w:r>
      <w:r w:rsidRPr="009E7923">
        <w:rPr>
          <w:rFonts w:cs="Arial"/>
        </w:rPr>
        <w:t xml:space="preserve">will have been </w:t>
      </w:r>
      <w:r w:rsidR="00AB7B2E" w:rsidRPr="009E7923">
        <w:rPr>
          <w:rFonts w:cs="Arial"/>
        </w:rPr>
        <w:t>conducted on </w:t>
      </w:r>
      <w:r w:rsidRPr="009E7923">
        <w:rPr>
          <w:rFonts w:cs="Arial"/>
        </w:rPr>
        <w:t>seven</w:t>
      </w:r>
      <w:r w:rsidR="00AB7B2E" w:rsidRPr="009E7923">
        <w:rPr>
          <w:rFonts w:cs="Arial"/>
        </w:rPr>
        <w:t xml:space="preserve"> </w:t>
      </w:r>
      <w:r w:rsidRPr="009E7923">
        <w:rPr>
          <w:rFonts w:cs="Arial"/>
        </w:rPr>
        <w:t>of ten</w:t>
      </w:r>
      <w:r w:rsidR="00483D68" w:rsidRPr="009E7923">
        <w:rPr>
          <w:rFonts w:cs="Arial"/>
        </w:rPr>
        <w:t xml:space="preserve"> </w:t>
      </w:r>
      <w:r w:rsidR="00AB7B2E" w:rsidRPr="009E7923">
        <w:rPr>
          <w:rFonts w:cs="Arial"/>
        </w:rPr>
        <w:t>sub-recipient </w:t>
      </w:r>
      <w:r w:rsidR="00483D68" w:rsidRPr="009E7923">
        <w:rPr>
          <w:rFonts w:cs="Arial"/>
        </w:rPr>
        <w:t>projects</w:t>
      </w:r>
      <w:r w:rsidR="00AB7B2E" w:rsidRPr="009E7923">
        <w:rPr>
          <w:rFonts w:cs="Arial"/>
        </w:rPr>
        <w:t xml:space="preserve"> completed in the program year:  Homewise (Home Improvement Project); </w:t>
      </w:r>
      <w:r w:rsidR="003E4678" w:rsidRPr="009E7923">
        <w:rPr>
          <w:rFonts w:cs="Arial"/>
        </w:rPr>
        <w:t xml:space="preserve">Homewise (Down Payment Assistance); </w:t>
      </w:r>
      <w:r w:rsidR="00AB7B2E" w:rsidRPr="009E7923">
        <w:rPr>
          <w:rFonts w:cs="Arial"/>
        </w:rPr>
        <w:t xml:space="preserve">The Housing Trust </w:t>
      </w:r>
      <w:r w:rsidR="003E4678" w:rsidRPr="009E7923">
        <w:rPr>
          <w:rFonts w:cs="Arial"/>
        </w:rPr>
        <w:t>(Down Payment Assistance)</w:t>
      </w:r>
      <w:r w:rsidR="00AB7B2E" w:rsidRPr="009E7923">
        <w:rPr>
          <w:rFonts w:cs="Arial"/>
        </w:rPr>
        <w:t>; Habitat for Humanity (</w:t>
      </w:r>
      <w:r w:rsidR="0004292C" w:rsidRPr="009E7923">
        <w:rPr>
          <w:rFonts w:cs="Arial"/>
        </w:rPr>
        <w:t>Home Improvement</w:t>
      </w:r>
      <w:r w:rsidR="00AB7B2E" w:rsidRPr="009E7923">
        <w:rPr>
          <w:rFonts w:cs="Arial"/>
        </w:rPr>
        <w:t xml:space="preserve"> Project); </w:t>
      </w:r>
      <w:r w:rsidR="0004292C" w:rsidRPr="009E7923">
        <w:rPr>
          <w:rFonts w:cs="Arial"/>
        </w:rPr>
        <w:t>Youth Shelters and Family Services</w:t>
      </w:r>
      <w:r w:rsidR="00AB7B2E" w:rsidRPr="009E7923">
        <w:rPr>
          <w:rFonts w:cs="Arial"/>
        </w:rPr>
        <w:t xml:space="preserve"> (</w:t>
      </w:r>
      <w:r w:rsidR="0004292C" w:rsidRPr="009E7923">
        <w:rPr>
          <w:rFonts w:cs="Arial"/>
        </w:rPr>
        <w:t>Street Outreach</w:t>
      </w:r>
      <w:r w:rsidR="00AB7B2E" w:rsidRPr="009E7923">
        <w:rPr>
          <w:rFonts w:cs="Arial"/>
        </w:rPr>
        <w:t>); Adelante (Middle School Liaison service project)</w:t>
      </w:r>
      <w:r w:rsidR="0004292C" w:rsidRPr="009E7923">
        <w:rPr>
          <w:rFonts w:cs="Arial"/>
        </w:rPr>
        <w:t>; Kitchen Angels (Meal preparation and delivery for chronically ill</w:t>
      </w:r>
      <w:r w:rsidR="003E4678" w:rsidRPr="009E7923">
        <w:rPr>
          <w:rFonts w:cs="Arial"/>
        </w:rPr>
        <w:t>);</w:t>
      </w:r>
      <w:r w:rsidR="003E4678">
        <w:rPr>
          <w:rFonts w:cs="Arial"/>
        </w:rPr>
        <w:t xml:space="preserve"> </w:t>
      </w:r>
    </w:p>
    <w:p w:rsidR="00AB7B2E" w:rsidRPr="0029379A" w:rsidRDefault="00CE2693" w:rsidP="004B24CD">
      <w:pPr>
        <w:widowControl w:val="0"/>
        <w:spacing w:before="100" w:beforeAutospacing="1" w:after="100" w:afterAutospacing="1"/>
        <w:rPr>
          <w:rFonts w:cs="Arial"/>
        </w:rPr>
      </w:pPr>
      <w:r>
        <w:rPr>
          <w:rFonts w:cs="Arial"/>
        </w:rPr>
        <w:lastRenderedPageBreak/>
        <w:t xml:space="preserve"> </w:t>
      </w:r>
      <w:r w:rsidR="00AB7B2E" w:rsidRPr="0029379A">
        <w:rPr>
          <w:rFonts w:cs="Arial"/>
        </w:rPr>
        <w:t xml:space="preserve">In the site visits, </w:t>
      </w:r>
      <w:r w:rsidR="004F6D6B">
        <w:rPr>
          <w:rFonts w:cs="Arial"/>
        </w:rPr>
        <w:t xml:space="preserve">staff members </w:t>
      </w:r>
      <w:r w:rsidR="003E4678">
        <w:rPr>
          <w:rFonts w:cs="Arial"/>
        </w:rPr>
        <w:t>meet</w:t>
      </w:r>
      <w:r w:rsidR="00AB7B2E" w:rsidRPr="0029379A">
        <w:rPr>
          <w:rFonts w:cs="Arial"/>
        </w:rPr>
        <w:t xml:space="preserve"> with the leadership team of the particular non-profit sub-recipient, and review selected files for accuracy based on the </w:t>
      </w:r>
      <w:r w:rsidR="004F6D6B">
        <w:rPr>
          <w:rFonts w:cs="Arial"/>
        </w:rPr>
        <w:t>guiding regulations and documents.  Both d</w:t>
      </w:r>
      <w:r w:rsidR="00AB7B2E" w:rsidRPr="0029379A">
        <w:rPr>
          <w:rFonts w:cs="Arial"/>
        </w:rPr>
        <w:t xml:space="preserve">eficiencies </w:t>
      </w:r>
      <w:r w:rsidR="004F6D6B">
        <w:rPr>
          <w:rFonts w:cs="Arial"/>
        </w:rPr>
        <w:t xml:space="preserve">and accomplishments </w:t>
      </w:r>
      <w:r w:rsidR="003E4678">
        <w:rPr>
          <w:rFonts w:cs="Arial"/>
        </w:rPr>
        <w:t>are</w:t>
      </w:r>
      <w:r w:rsidR="00AB7B2E" w:rsidRPr="0029379A">
        <w:rPr>
          <w:rFonts w:cs="Arial"/>
        </w:rPr>
        <w:t xml:space="preserve"> noted  </w:t>
      </w:r>
      <w:r w:rsidR="003E4678">
        <w:rPr>
          <w:rFonts w:cs="Arial"/>
        </w:rPr>
        <w:t>at the time of monitoring</w:t>
      </w:r>
      <w:r w:rsidR="00AB7B2E" w:rsidRPr="0029379A">
        <w:rPr>
          <w:rFonts w:cs="Arial"/>
        </w:rPr>
        <w:t> </w:t>
      </w:r>
      <w:r w:rsidR="004F6D6B">
        <w:rPr>
          <w:rFonts w:cs="Arial"/>
        </w:rPr>
        <w:t xml:space="preserve">and by follow up letters </w:t>
      </w:r>
      <w:r w:rsidR="003E4678">
        <w:rPr>
          <w:rFonts w:cs="Arial"/>
        </w:rPr>
        <w:t>which outline</w:t>
      </w:r>
      <w:r w:rsidR="00E457D4">
        <w:rPr>
          <w:rFonts w:cs="Arial"/>
        </w:rPr>
        <w:t xml:space="preserve"> corrective actions to be taken </w:t>
      </w:r>
      <w:r w:rsidR="004F6D6B">
        <w:rPr>
          <w:rFonts w:cs="Arial"/>
        </w:rPr>
        <w:t>to achieve</w:t>
      </w:r>
      <w:r w:rsidR="00E457D4">
        <w:rPr>
          <w:rFonts w:cs="Arial"/>
        </w:rPr>
        <w:t xml:space="preserve"> effective</w:t>
      </w:r>
      <w:r w:rsidR="004F6D6B">
        <w:rPr>
          <w:rFonts w:cs="Arial"/>
        </w:rPr>
        <w:t>,</w:t>
      </w:r>
      <w:r w:rsidR="00E457D4">
        <w:rPr>
          <w:rFonts w:cs="Arial"/>
        </w:rPr>
        <w:t xml:space="preserve"> efficient program delivery.</w:t>
      </w:r>
    </w:p>
    <w:p w:rsidR="00AB7B2E" w:rsidRPr="0029379A" w:rsidRDefault="00AB7B2E" w:rsidP="004B24CD">
      <w:pPr>
        <w:widowControl w:val="0"/>
        <w:spacing w:beforeAutospacing="1" w:afterAutospacing="1"/>
        <w:rPr>
          <w:rFonts w:cs="Arial"/>
          <w:b/>
        </w:rPr>
      </w:pPr>
      <w:r w:rsidRPr="0029379A">
        <w:rPr>
          <w:rFonts w:cs="Arial"/>
          <w:b/>
        </w:rPr>
        <w:t>Reporting and Fiscal Management</w:t>
      </w:r>
    </w:p>
    <w:p w:rsidR="00AB7B2E" w:rsidRPr="0029379A" w:rsidRDefault="00AB7B2E" w:rsidP="004B24CD">
      <w:pPr>
        <w:widowControl w:val="0"/>
        <w:spacing w:before="100" w:beforeAutospacing="1" w:after="100" w:afterAutospacing="1"/>
        <w:rPr>
          <w:rFonts w:cs="Arial"/>
        </w:rPr>
      </w:pPr>
      <w:r w:rsidRPr="0029379A">
        <w:rPr>
          <w:rFonts w:cs="Arial"/>
        </w:rPr>
        <w:t>Staff ensures that all sub recipients keep detailed records for the Performance Measurement System to evaluate the effectiveness of the project in meeting the needs of targeted populations.  Relevant data include the number of clients served, income and employment (locally and with the City depending on the program), assets breakdown (when appropriate) and Performance Measurement data by project type (Housing, Economic Development, Public Service or Facilities &amp; Improvement), ethnicity and age breakdown.</w:t>
      </w:r>
    </w:p>
    <w:p w:rsidR="00AB7B2E" w:rsidRPr="0029379A" w:rsidRDefault="00AB7B2E" w:rsidP="004B24CD">
      <w:pPr>
        <w:widowControl w:val="0"/>
        <w:spacing w:before="100" w:beforeAutospacing="1" w:after="100" w:afterAutospacing="1"/>
        <w:rPr>
          <w:rFonts w:cs="Arial"/>
        </w:rPr>
      </w:pPr>
      <w:r w:rsidRPr="0029379A">
        <w:rPr>
          <w:rFonts w:cs="Arial"/>
        </w:rPr>
        <w:t>This information is submitted quarterly and input into the Integrated Disbursement and Information System (IDIS) with data finalized prior to program closeout and reporting in the Program Year CAPER.  The reports track completion of the contracted scope of services and track program demand and utilization by demographic category for services provided by the program.  The</w:t>
      </w:r>
      <w:r w:rsidR="00F91BC8">
        <w:rPr>
          <w:rFonts w:cs="Arial"/>
        </w:rPr>
        <w:t xml:space="preserve"> sub-recipient’s</w:t>
      </w:r>
      <w:r w:rsidRPr="0029379A">
        <w:rPr>
          <w:rFonts w:cs="Arial"/>
        </w:rPr>
        <w:t xml:space="preserve"> program manager also must submit </w:t>
      </w:r>
      <w:r w:rsidR="00E457D4">
        <w:rPr>
          <w:rFonts w:cs="Arial"/>
        </w:rPr>
        <w:t xml:space="preserve">audits and/or audited </w:t>
      </w:r>
      <w:r w:rsidRPr="0029379A">
        <w:rPr>
          <w:rFonts w:cs="Arial"/>
        </w:rPr>
        <w:t xml:space="preserve">financial statements which include a breakdown of the expenditures and revenue (including Program Income if relevant) and a specific description of the charges as defined in the contract.  </w:t>
      </w:r>
      <w:r w:rsidR="00E457D4">
        <w:rPr>
          <w:rFonts w:cs="Arial"/>
        </w:rPr>
        <w:t xml:space="preserve">The City requires these within ninety (90) days of project completion and considers time extensions under extenuating circumstances.  </w:t>
      </w:r>
      <w:r w:rsidRPr="0029379A">
        <w:rPr>
          <w:rFonts w:cs="Arial"/>
        </w:rPr>
        <w:t xml:space="preserve">The CDBG Administrator from the Office of Affordable Housing is responsible for reviewing and approving the sub recipient’s account payment requests (invoices) and then submitting the request to the City's Accounts Payable Department for </w:t>
      </w:r>
      <w:r w:rsidR="00E457D4">
        <w:rPr>
          <w:rFonts w:cs="Arial"/>
        </w:rPr>
        <w:t>p</w:t>
      </w:r>
      <w:r w:rsidRPr="0029379A">
        <w:rPr>
          <w:rFonts w:cs="Arial"/>
        </w:rPr>
        <w:t>ayment.</w:t>
      </w:r>
      <w:r w:rsidR="00483D68">
        <w:rPr>
          <w:rFonts w:cs="Arial"/>
        </w:rPr>
        <w:t xml:space="preserve">  </w:t>
      </w:r>
      <w:r w:rsidR="00F91BC8">
        <w:rPr>
          <w:rFonts w:cs="Arial"/>
        </w:rPr>
        <w:t xml:space="preserve">The Administrator also uses a </w:t>
      </w:r>
      <w:r w:rsidR="000F2B7C">
        <w:rPr>
          <w:rFonts w:cs="Arial"/>
        </w:rPr>
        <w:t>checklist</w:t>
      </w:r>
      <w:r w:rsidR="00F91BC8">
        <w:rPr>
          <w:rFonts w:cs="Arial"/>
        </w:rPr>
        <w:t xml:space="preserve"> to ensure current documents required by the City and by HUD </w:t>
      </w:r>
      <w:r w:rsidR="000F2B7C">
        <w:rPr>
          <w:rFonts w:cs="Arial"/>
        </w:rPr>
        <w:t xml:space="preserve">are received from the sub-recipient, </w:t>
      </w:r>
      <w:r w:rsidR="00F91BC8">
        <w:rPr>
          <w:rFonts w:cs="Arial"/>
        </w:rPr>
        <w:t>and withholds invoices for payment where necessary until the most current documentation is received.</w:t>
      </w:r>
    </w:p>
    <w:p w:rsidR="00AB7B2E" w:rsidRPr="0029379A" w:rsidRDefault="00AB7B2E" w:rsidP="004B24CD">
      <w:pPr>
        <w:widowControl w:val="0"/>
        <w:rPr>
          <w:b/>
          <w:sz w:val="24"/>
        </w:rPr>
      </w:pPr>
      <w:r w:rsidRPr="0029379A">
        <w:rPr>
          <w:b/>
          <w:sz w:val="24"/>
        </w:rPr>
        <w:t>Citizen Participation Plan 91.105(d); 91.115(d)</w:t>
      </w:r>
    </w:p>
    <w:p w:rsidR="00AB7B2E" w:rsidRPr="0029379A" w:rsidRDefault="00AB7B2E" w:rsidP="004B24CD">
      <w:pPr>
        <w:widowControl w:val="0"/>
        <w:rPr>
          <w:b/>
          <w:sz w:val="24"/>
        </w:rPr>
      </w:pPr>
      <w:r w:rsidRPr="0029379A">
        <w:rPr>
          <w:b/>
          <w:sz w:val="24"/>
        </w:rPr>
        <w:t>Description of the efforts to provide citizens with reasonable notice and an opportunity to comment on performance reports.</w:t>
      </w:r>
    </w:p>
    <w:p w:rsidR="00AB7B2E" w:rsidRDefault="00AB7B2E" w:rsidP="004B24CD">
      <w:pPr>
        <w:spacing w:before="100" w:beforeAutospacing="1" w:after="100" w:afterAutospacing="1"/>
        <w:contextualSpacing/>
      </w:pPr>
      <w:r w:rsidRPr="0029379A">
        <w:t>The CDBG Citizen Participation Plan, as approved by HUD, requires that Santa Fe residents be given adequate time – a minimum of 15 days – to review the City’s use of CDBG funds as well as holding a Public Hearing at a regular City Council meeting for public comment.</w:t>
      </w:r>
      <w:r w:rsidR="001B71E8">
        <w:t xml:space="preserve"> </w:t>
      </w:r>
      <w:r w:rsidR="00311AB2">
        <w:t>For the public comment opportunity, the</w:t>
      </w:r>
      <w:r w:rsidR="0036574B">
        <w:t xml:space="preserve"> Office of Affordable Housing published</w:t>
      </w:r>
      <w:r w:rsidR="00E457D4">
        <w:t xml:space="preserve"> two display ads in Spanish and English</w:t>
      </w:r>
      <w:r w:rsidR="003E4678">
        <w:t xml:space="preserve"> on Monday, August 28 and </w:t>
      </w:r>
      <w:r w:rsidRPr="0029379A">
        <w:t xml:space="preserve">Friday, </w:t>
      </w:r>
      <w:r w:rsidR="003E4678">
        <w:t>September 1, 2017</w:t>
      </w:r>
      <w:r w:rsidRPr="0029379A">
        <w:t xml:space="preserve"> in the Santa Fe New Mexican</w:t>
      </w:r>
      <w:r w:rsidR="00E457D4">
        <w:t>, so</w:t>
      </w:r>
      <w:r w:rsidRPr="0029379A">
        <w:t xml:space="preserve">liciting </w:t>
      </w:r>
      <w:r w:rsidR="000F2B7C">
        <w:t>written public comment</w:t>
      </w:r>
      <w:r w:rsidR="003E4678">
        <w:t>. The document was made available</w:t>
      </w:r>
      <w:r w:rsidR="000F2B7C">
        <w:t xml:space="preserve"> </w:t>
      </w:r>
      <w:r w:rsidRPr="0029379A">
        <w:t xml:space="preserve">from </w:t>
      </w:r>
      <w:r w:rsidR="003E4678">
        <w:t>August 28</w:t>
      </w:r>
      <w:r w:rsidRPr="0029379A">
        <w:t xml:space="preserve"> through </w:t>
      </w:r>
      <w:r w:rsidR="003E4678">
        <w:t>September 11</w:t>
      </w:r>
      <w:r w:rsidRPr="0029379A">
        <w:t>, 201</w:t>
      </w:r>
      <w:r w:rsidR="003E4678">
        <w:t>7</w:t>
      </w:r>
      <w:r w:rsidRPr="0029379A">
        <w:t xml:space="preserve"> - at the following locations:</w:t>
      </w:r>
    </w:p>
    <w:p w:rsidR="009E7923" w:rsidRPr="0029379A" w:rsidRDefault="009E7923" w:rsidP="004B24CD">
      <w:pPr>
        <w:spacing w:before="100" w:beforeAutospacing="1" w:after="100" w:afterAutospacing="1"/>
        <w:contextualSpacing/>
      </w:pPr>
    </w:p>
    <w:p w:rsidR="009E7923" w:rsidRPr="001157DD" w:rsidRDefault="009E7923" w:rsidP="009E7923">
      <w:pPr>
        <w:numPr>
          <w:ilvl w:val="0"/>
          <w:numId w:val="29"/>
        </w:numPr>
        <w:spacing w:after="0" w:line="240" w:lineRule="auto"/>
      </w:pPr>
      <w:r w:rsidRPr="001157DD">
        <w:rPr>
          <w:b/>
        </w:rPr>
        <w:lastRenderedPageBreak/>
        <w:t xml:space="preserve">Southside Library </w:t>
      </w:r>
      <w:r w:rsidRPr="001157DD">
        <w:t>(6599 Jaguar Drive)</w:t>
      </w:r>
    </w:p>
    <w:p w:rsidR="009E7923" w:rsidRDefault="009E7923" w:rsidP="009E7923">
      <w:pPr>
        <w:numPr>
          <w:ilvl w:val="0"/>
          <w:numId w:val="29"/>
        </w:numPr>
        <w:spacing w:after="0" w:line="240" w:lineRule="auto"/>
      </w:pPr>
      <w:r w:rsidRPr="001157DD">
        <w:rPr>
          <w:b/>
        </w:rPr>
        <w:t xml:space="preserve">The Main Library </w:t>
      </w:r>
      <w:r w:rsidRPr="001157DD">
        <w:t>(145 Washington Ave.)</w:t>
      </w:r>
    </w:p>
    <w:p w:rsidR="009E7923" w:rsidRDefault="009E7923" w:rsidP="009E7923">
      <w:pPr>
        <w:numPr>
          <w:ilvl w:val="0"/>
          <w:numId w:val="29"/>
        </w:numPr>
        <w:spacing w:after="0" w:line="240" w:lineRule="auto"/>
        <w:rPr>
          <w:b/>
        </w:rPr>
      </w:pPr>
      <w:r w:rsidRPr="001157DD">
        <w:rPr>
          <w:b/>
        </w:rPr>
        <w:t xml:space="preserve">City of Santa Fe Office of Affordable Housing </w:t>
      </w:r>
      <w:r w:rsidRPr="001157DD">
        <w:t>(</w:t>
      </w:r>
      <w:r>
        <w:t>500 Market St</w:t>
      </w:r>
      <w:r w:rsidRPr="001157DD">
        <w:t>)</w:t>
      </w:r>
    </w:p>
    <w:p w:rsidR="009E7923" w:rsidRPr="009E7923" w:rsidRDefault="009E7923" w:rsidP="009E7923">
      <w:pPr>
        <w:numPr>
          <w:ilvl w:val="0"/>
          <w:numId w:val="29"/>
        </w:numPr>
        <w:spacing w:after="0" w:line="240" w:lineRule="auto"/>
        <w:rPr>
          <w:b/>
        </w:rPr>
      </w:pPr>
      <w:r w:rsidRPr="001157DD">
        <w:rPr>
          <w:b/>
        </w:rPr>
        <w:t xml:space="preserve">Santa Fe </w:t>
      </w:r>
      <w:r>
        <w:rPr>
          <w:b/>
        </w:rPr>
        <w:t>City Hall</w:t>
      </w:r>
      <w:r w:rsidRPr="001157DD">
        <w:rPr>
          <w:b/>
        </w:rPr>
        <w:t xml:space="preserve"> </w:t>
      </w:r>
      <w:r w:rsidRPr="001157DD">
        <w:t>(</w:t>
      </w:r>
      <w:r>
        <w:t>200 Lincoln Avenue-City Clerk</w:t>
      </w:r>
      <w:r w:rsidRPr="001157DD">
        <w:t>)</w:t>
      </w:r>
    </w:p>
    <w:p w:rsidR="009E7923" w:rsidRPr="001157DD" w:rsidRDefault="009E7923" w:rsidP="009E7923">
      <w:pPr>
        <w:numPr>
          <w:ilvl w:val="0"/>
          <w:numId w:val="29"/>
        </w:numPr>
        <w:spacing w:after="0" w:line="240" w:lineRule="auto"/>
        <w:rPr>
          <w:b/>
        </w:rPr>
      </w:pPr>
      <w:r>
        <w:rPr>
          <w:b/>
        </w:rPr>
        <w:t xml:space="preserve">Genoveva Chavez Community Center </w:t>
      </w:r>
      <w:r w:rsidRPr="009E7923">
        <w:t>(</w:t>
      </w:r>
      <w:r w:rsidRPr="009E7923">
        <w:rPr>
          <w:rStyle w:val="xbe"/>
          <w:rFonts w:asciiTheme="minorHAnsi" w:hAnsiTheme="minorHAnsi" w:cs="Arial"/>
          <w:color w:val="222222"/>
          <w:lang w:val="en"/>
        </w:rPr>
        <w:t>3221 Rodeo Rd</w:t>
      </w:r>
      <w:r>
        <w:rPr>
          <w:rStyle w:val="xbe"/>
          <w:rFonts w:asciiTheme="minorHAnsi" w:hAnsiTheme="minorHAnsi" w:cs="Arial"/>
          <w:color w:val="222222"/>
          <w:lang w:val="en"/>
        </w:rPr>
        <w:t>)</w:t>
      </w:r>
    </w:p>
    <w:p w:rsidR="00E269BD" w:rsidRPr="0029379A" w:rsidRDefault="00E269BD" w:rsidP="004B24CD">
      <w:pPr>
        <w:widowControl w:val="0"/>
        <w:spacing w:after="0"/>
        <w:rPr>
          <w:rFonts w:cs="Arial"/>
        </w:rPr>
      </w:pPr>
    </w:p>
    <w:p w:rsidR="00E269BD" w:rsidRDefault="00E269BD" w:rsidP="004B24CD">
      <w:pPr>
        <w:spacing w:before="100" w:beforeAutospacing="1" w:after="100" w:afterAutospacing="1"/>
        <w:contextualSpacing/>
      </w:pPr>
      <w:r w:rsidRPr="0029379A">
        <w:t xml:space="preserve">To comply with the HUD </w:t>
      </w:r>
      <w:r w:rsidR="00311AB2">
        <w:t>Public Hearing and Public Comment</w:t>
      </w:r>
      <w:r w:rsidRPr="0029379A">
        <w:t xml:space="preserve"> requirements on the 201</w:t>
      </w:r>
      <w:r w:rsidR="003E4678">
        <w:t>6</w:t>
      </w:r>
      <w:r w:rsidRPr="0029379A">
        <w:t xml:space="preserve"> CAPER, the City Clerk publishe</w:t>
      </w:r>
      <w:r>
        <w:t>d</w:t>
      </w:r>
      <w:r w:rsidRPr="0029379A">
        <w:t xml:space="preserve"> </w:t>
      </w:r>
      <w:r>
        <w:t>an official</w:t>
      </w:r>
      <w:r w:rsidRPr="0029379A">
        <w:t xml:space="preserve"> </w:t>
      </w:r>
      <w:r>
        <w:t>notice</w:t>
      </w:r>
      <w:r w:rsidRPr="0029379A">
        <w:t xml:space="preserve"> for public hearing</w:t>
      </w:r>
      <w:r>
        <w:t xml:space="preserve"> </w:t>
      </w:r>
      <w:r w:rsidRPr="0029379A">
        <w:t xml:space="preserve">in the Santa Fe New Mexican Legal Section </w:t>
      </w:r>
      <w:r w:rsidR="003E4678">
        <w:t>to advertise</w:t>
      </w:r>
      <w:r w:rsidRPr="0029379A">
        <w:t xml:space="preserve"> the Public Hearing </w:t>
      </w:r>
      <w:r>
        <w:t>held on</w:t>
      </w:r>
      <w:r w:rsidRPr="0029379A">
        <w:t xml:space="preserve"> </w:t>
      </w:r>
      <w:r w:rsidR="003E4678">
        <w:t>September 27, 2017</w:t>
      </w:r>
      <w:r>
        <w:t>.</w:t>
      </w:r>
      <w:r w:rsidR="000A2C96">
        <w:t xml:space="preserve">  </w:t>
      </w:r>
    </w:p>
    <w:p w:rsidR="003E4678" w:rsidRPr="0029379A" w:rsidRDefault="003E4678" w:rsidP="004B24CD">
      <w:pPr>
        <w:spacing w:before="100" w:beforeAutospacing="1" w:after="100" w:afterAutospacing="1"/>
        <w:contextualSpacing/>
      </w:pPr>
    </w:p>
    <w:p w:rsidR="00AB7B2E" w:rsidRPr="0029379A" w:rsidRDefault="00AB7B2E" w:rsidP="004B24CD">
      <w:pPr>
        <w:spacing w:before="100" w:beforeAutospacing="1" w:after="100" w:afterAutospacing="1"/>
      </w:pPr>
      <w:r w:rsidRPr="0029379A">
        <w:t xml:space="preserve">The CAPER </w:t>
      </w:r>
      <w:r w:rsidR="004B70F0">
        <w:t>is</w:t>
      </w:r>
      <w:r w:rsidR="00115FA3">
        <w:t xml:space="preserve"> </w:t>
      </w:r>
      <w:r w:rsidRPr="0029379A">
        <w:t>made available to the public for review along with other internal committee reviews within the timeline below:</w:t>
      </w:r>
    </w:p>
    <w:p w:rsidR="00AB7B2E" w:rsidRPr="009E7923" w:rsidRDefault="00AB7B2E" w:rsidP="004B24CD">
      <w:pPr>
        <w:spacing w:before="100" w:beforeAutospacing="1" w:after="100" w:afterAutospacing="1"/>
        <w:contextualSpacing/>
      </w:pPr>
      <w:r w:rsidRPr="009E7923">
        <w:t>C</w:t>
      </w:r>
      <w:r w:rsidR="004B70F0" w:rsidRPr="009E7923">
        <w:t xml:space="preserve">ity Finance Committee:  </w:t>
      </w:r>
      <w:r w:rsidR="009E7923">
        <w:t xml:space="preserve">September </w:t>
      </w:r>
      <w:r w:rsidR="00D3131E">
        <w:t>11</w:t>
      </w:r>
      <w:r w:rsidRPr="009E7923">
        <w:t>, 201</w:t>
      </w:r>
      <w:r w:rsidR="00D3131E">
        <w:t>7</w:t>
      </w:r>
    </w:p>
    <w:p w:rsidR="00AB7B2E" w:rsidRPr="009E7923" w:rsidRDefault="00AB7B2E" w:rsidP="004B24CD">
      <w:pPr>
        <w:spacing w:before="100" w:beforeAutospacing="1" w:after="100" w:afterAutospacing="1"/>
        <w:contextualSpacing/>
      </w:pPr>
      <w:r w:rsidRPr="009E7923">
        <w:t xml:space="preserve">City’s Community Development Commission:  </w:t>
      </w:r>
      <w:r w:rsidR="00D3131E">
        <w:t>September</w:t>
      </w:r>
      <w:r w:rsidR="00115FA3" w:rsidRPr="009E7923">
        <w:t xml:space="preserve">, </w:t>
      </w:r>
      <w:r w:rsidR="00D3131E">
        <w:t xml:space="preserve">20, </w:t>
      </w:r>
      <w:r w:rsidR="00115FA3" w:rsidRPr="009E7923">
        <w:t>201</w:t>
      </w:r>
      <w:r w:rsidR="00D3131E">
        <w:t>7</w:t>
      </w:r>
    </w:p>
    <w:p w:rsidR="00AB7B2E" w:rsidRDefault="00AB7B2E" w:rsidP="004B24CD">
      <w:pPr>
        <w:spacing w:before="100" w:beforeAutospacing="1" w:after="100" w:afterAutospacing="1"/>
        <w:contextualSpacing/>
      </w:pPr>
      <w:r w:rsidRPr="009E7923">
        <w:t xml:space="preserve">Public Hearing, City Council:  </w:t>
      </w:r>
      <w:r w:rsidR="00D3131E">
        <w:t>September 27</w:t>
      </w:r>
      <w:r w:rsidR="004B70F0" w:rsidRPr="009E7923">
        <w:t>, 201</w:t>
      </w:r>
      <w:r w:rsidR="00D3131E">
        <w:t>7</w:t>
      </w:r>
    </w:p>
    <w:p w:rsidR="004B70F0" w:rsidRDefault="004B70F0" w:rsidP="004B24CD">
      <w:pPr>
        <w:spacing w:before="100" w:beforeAutospacing="1" w:after="100" w:afterAutospacing="1"/>
        <w:contextualSpacing/>
      </w:pPr>
    </w:p>
    <w:p w:rsidR="00115FA3" w:rsidRPr="0029379A" w:rsidRDefault="00115FA3" w:rsidP="004B24CD">
      <w:pPr>
        <w:widowControl w:val="0"/>
        <w:spacing w:beforeAutospacing="1" w:afterAutospacing="1"/>
        <w:rPr>
          <w:rFonts w:cs="Arial"/>
          <w:b/>
        </w:rPr>
      </w:pPr>
      <w:r w:rsidRPr="0029379A">
        <w:rPr>
          <w:rFonts w:cs="Arial"/>
          <w:b/>
        </w:rPr>
        <w:t>Citizen Comments</w:t>
      </w:r>
    </w:p>
    <w:p w:rsidR="00115FA3" w:rsidRPr="0029379A" w:rsidRDefault="00115FA3" w:rsidP="004B24CD">
      <w:pPr>
        <w:widowControl w:val="0"/>
        <w:rPr>
          <w:rFonts w:cs="Arial"/>
        </w:rPr>
      </w:pPr>
      <w:r w:rsidRPr="0029379A">
        <w:rPr>
          <w:rFonts w:cs="Arial"/>
        </w:rPr>
        <w:t xml:space="preserve">Citizens have three options to participate.  They may participate by attending public meetings, submitting written comments to the Office of Affordable Housing, and may testify at public hearings.  </w:t>
      </w:r>
      <w:r>
        <w:rPr>
          <w:rFonts w:cs="Arial"/>
        </w:rPr>
        <w:t>All CDBG proposed projects go through the Community Development Commission public meeting advertised on the City’s website</w:t>
      </w:r>
      <w:r w:rsidR="00134492">
        <w:rPr>
          <w:rFonts w:cs="Arial"/>
        </w:rPr>
        <w:t xml:space="preserve"> and printed in the City’s weekly meeting notice distributed to all City offices</w:t>
      </w:r>
      <w:r>
        <w:rPr>
          <w:rFonts w:cs="Arial"/>
        </w:rPr>
        <w:t xml:space="preserve">.  All CDBG </w:t>
      </w:r>
      <w:r w:rsidR="00134492">
        <w:rPr>
          <w:rFonts w:cs="Arial"/>
        </w:rPr>
        <w:t>c</w:t>
      </w:r>
      <w:r>
        <w:rPr>
          <w:rFonts w:cs="Arial"/>
        </w:rPr>
        <w:t>ontracts</w:t>
      </w:r>
      <w:r w:rsidR="000A2C96">
        <w:rPr>
          <w:rFonts w:cs="Arial"/>
        </w:rPr>
        <w:t xml:space="preserve"> represented in the CAPER</w:t>
      </w:r>
      <w:r>
        <w:rPr>
          <w:rFonts w:cs="Arial"/>
        </w:rPr>
        <w:t xml:space="preserve"> </w:t>
      </w:r>
      <w:r w:rsidR="000A2C96">
        <w:rPr>
          <w:rFonts w:cs="Arial"/>
        </w:rPr>
        <w:t>were reviewed by</w:t>
      </w:r>
      <w:r>
        <w:rPr>
          <w:rFonts w:cs="Arial"/>
        </w:rPr>
        <w:t xml:space="preserve"> the City Finance Committee </w:t>
      </w:r>
      <w:r w:rsidR="00134492">
        <w:rPr>
          <w:rFonts w:cs="Arial"/>
        </w:rPr>
        <w:t>prior to the start the funding year of July 1, 201</w:t>
      </w:r>
      <w:r w:rsidR="003E4678">
        <w:rPr>
          <w:rFonts w:cs="Arial"/>
        </w:rPr>
        <w:t>6</w:t>
      </w:r>
      <w:r w:rsidR="00134492">
        <w:rPr>
          <w:rFonts w:cs="Arial"/>
        </w:rPr>
        <w:t>, and were advertised</w:t>
      </w:r>
      <w:r>
        <w:rPr>
          <w:rFonts w:cs="Arial"/>
        </w:rPr>
        <w:t xml:space="preserve"> on the City’s website.  Finally the projects </w:t>
      </w:r>
      <w:r w:rsidR="000A2C96">
        <w:rPr>
          <w:rFonts w:cs="Arial"/>
        </w:rPr>
        <w:t>were</w:t>
      </w:r>
      <w:r>
        <w:rPr>
          <w:rFonts w:cs="Arial"/>
        </w:rPr>
        <w:t xml:space="preserve"> </w:t>
      </w:r>
      <w:r w:rsidR="000A2C96">
        <w:rPr>
          <w:rFonts w:cs="Arial"/>
        </w:rPr>
        <w:t>reviewed and represented within the 201</w:t>
      </w:r>
      <w:r w:rsidR="003E4678">
        <w:rPr>
          <w:rFonts w:cs="Arial"/>
        </w:rPr>
        <w:t>6</w:t>
      </w:r>
      <w:r w:rsidR="000A2C96">
        <w:rPr>
          <w:rFonts w:cs="Arial"/>
        </w:rPr>
        <w:t>-201</w:t>
      </w:r>
      <w:r w:rsidR="003E4678">
        <w:rPr>
          <w:rFonts w:cs="Arial"/>
        </w:rPr>
        <w:t>7</w:t>
      </w:r>
      <w:r w:rsidR="000A2C96">
        <w:rPr>
          <w:rFonts w:cs="Arial"/>
        </w:rPr>
        <w:t xml:space="preserve"> Annual Action Plan document,</w:t>
      </w:r>
      <w:r>
        <w:rPr>
          <w:rFonts w:cs="Arial"/>
        </w:rPr>
        <w:t xml:space="preserve"> at the City Council Public Hearing</w:t>
      </w:r>
      <w:r w:rsidR="000A2C96">
        <w:rPr>
          <w:rFonts w:cs="Arial"/>
        </w:rPr>
        <w:t>,</w:t>
      </w:r>
      <w:r>
        <w:rPr>
          <w:rFonts w:cs="Arial"/>
        </w:rPr>
        <w:t xml:space="preserve"> which </w:t>
      </w:r>
      <w:r w:rsidR="000A2C96">
        <w:rPr>
          <w:rFonts w:cs="Arial"/>
        </w:rPr>
        <w:t>was</w:t>
      </w:r>
      <w:r>
        <w:rPr>
          <w:rFonts w:cs="Arial"/>
        </w:rPr>
        <w:t xml:space="preserve"> advertised in the Santa Fe New Mexican.</w:t>
      </w:r>
    </w:p>
    <w:p w:rsidR="00667C28" w:rsidRDefault="007137DF">
      <w:pPr>
        <w:pStyle w:val="Heading2"/>
        <w:pageBreakBefore/>
        <w:widowControl w:val="0"/>
        <w:rPr>
          <w:rFonts w:ascii="Calibri" w:hAnsi="Calibri"/>
          <w:i w:val="0"/>
        </w:rPr>
      </w:pPr>
      <w:bookmarkStart w:id="12" w:name="_Toc426364871"/>
      <w:r>
        <w:rPr>
          <w:rFonts w:ascii="Calibri" w:hAnsi="Calibri"/>
          <w:i w:val="0"/>
        </w:rPr>
        <w:lastRenderedPageBreak/>
        <w:t>CR-45 - CDBG 91.520(c)</w:t>
      </w:r>
      <w:bookmarkEnd w:id="12"/>
    </w:p>
    <w:p w:rsidR="00667C28" w:rsidRDefault="007137DF">
      <w:pPr>
        <w:widowControl w:val="0"/>
        <w:rPr>
          <w:b/>
          <w:sz w:val="24"/>
          <w:szCs w:val="24"/>
        </w:rPr>
      </w:pPr>
      <w:r>
        <w:rPr>
          <w:b/>
          <w:sz w:val="24"/>
          <w:szCs w:val="24"/>
        </w:rPr>
        <w:t>Specify the nature of, and reasons for, any changes in the jurisdiction’s program objectives and indications of how the jurisdiction would change its programs as a result of its experiences.</w:t>
      </w:r>
    </w:p>
    <w:p w:rsidR="00115FA3" w:rsidRPr="0029379A" w:rsidRDefault="00115FA3" w:rsidP="00115FA3">
      <w:pPr>
        <w:widowControl w:val="0"/>
        <w:spacing w:beforeAutospacing="1" w:afterAutospacing="1"/>
        <w:rPr>
          <w:rFonts w:cs="Arial"/>
        </w:rPr>
      </w:pPr>
      <w:r w:rsidRPr="0029379A">
        <w:rPr>
          <w:rFonts w:cs="Arial"/>
        </w:rPr>
        <w:t>There are no changes.</w:t>
      </w:r>
    </w:p>
    <w:p w:rsidR="00667C28" w:rsidRDefault="007137DF">
      <w:pPr>
        <w:widowControl w:val="0"/>
        <w:rPr>
          <w:b/>
          <w:sz w:val="24"/>
          <w:szCs w:val="24"/>
        </w:rPr>
      </w:pPr>
      <w:r>
        <w:rPr>
          <w:b/>
          <w:sz w:val="24"/>
          <w:szCs w:val="24"/>
        </w:rPr>
        <w:t>Does this Jurisdiction have any open Brownfields Economic Development Initiative (BEDI) grants?</w:t>
      </w:r>
    </w:p>
    <w:p w:rsidR="00667C28" w:rsidRPr="002F2885" w:rsidRDefault="00115FA3">
      <w:pPr>
        <w:widowControl w:val="0"/>
        <w:rPr>
          <w:sz w:val="24"/>
          <w:szCs w:val="24"/>
        </w:rPr>
      </w:pPr>
      <w:r w:rsidRPr="002F2885">
        <w:rPr>
          <w:sz w:val="24"/>
          <w:szCs w:val="24"/>
        </w:rPr>
        <w:t>No.</w:t>
      </w:r>
    </w:p>
    <w:p w:rsidR="00B243E3" w:rsidRDefault="00B243E3">
      <w:pPr>
        <w:spacing w:after="0" w:line="240" w:lineRule="auto"/>
        <w:rPr>
          <w:b/>
          <w:sz w:val="24"/>
          <w:szCs w:val="24"/>
        </w:rPr>
      </w:pPr>
      <w:r>
        <w:rPr>
          <w:b/>
          <w:sz w:val="24"/>
          <w:szCs w:val="24"/>
        </w:rPr>
        <w:br w:type="page"/>
      </w:r>
    </w:p>
    <w:p w:rsidR="00573F89" w:rsidRDefault="00573F89">
      <w:pPr>
        <w:spacing w:after="0" w:line="240" w:lineRule="auto"/>
        <w:rPr>
          <w:b/>
          <w:sz w:val="32"/>
        </w:rPr>
      </w:pPr>
    </w:p>
    <w:p w:rsidR="008F4F45" w:rsidRPr="0029379A" w:rsidRDefault="008F4F45" w:rsidP="008F4F45">
      <w:pPr>
        <w:jc w:val="center"/>
        <w:rPr>
          <w:b/>
          <w:sz w:val="32"/>
        </w:rPr>
      </w:pPr>
      <w:r w:rsidRPr="0029379A">
        <w:rPr>
          <w:b/>
          <w:sz w:val="32"/>
        </w:rPr>
        <w:t xml:space="preserve">APPENDIX </w:t>
      </w:r>
      <w:r>
        <w:rPr>
          <w:b/>
          <w:sz w:val="32"/>
        </w:rPr>
        <w:t>A</w:t>
      </w:r>
    </w:p>
    <w:p w:rsidR="007D7080" w:rsidRDefault="007D7080" w:rsidP="005A6039">
      <w:pPr>
        <w:spacing w:after="0"/>
        <w:ind w:left="360"/>
      </w:pPr>
      <w:r w:rsidRPr="008F4F45">
        <w:t>HUD Reports:  Integrated Disbursement Information System (IDIS)</w:t>
      </w:r>
    </w:p>
    <w:p w:rsidR="00EE388C" w:rsidRDefault="00EE388C" w:rsidP="009F7520">
      <w:pPr>
        <w:pStyle w:val="ListParagraph"/>
        <w:numPr>
          <w:ilvl w:val="0"/>
          <w:numId w:val="27"/>
        </w:numPr>
        <w:spacing w:after="0"/>
      </w:pPr>
      <w:r>
        <w:t xml:space="preserve">PR </w:t>
      </w:r>
      <w:r w:rsidR="004A3DD3">
        <w:t>0</w:t>
      </w:r>
      <w:r>
        <w:t>3 CDBG Activity Summary Report for 201</w:t>
      </w:r>
      <w:r w:rsidR="004B24CD">
        <w:t>6</w:t>
      </w:r>
    </w:p>
    <w:p w:rsidR="00BC29D4" w:rsidRDefault="00BC29D4" w:rsidP="009F7520">
      <w:pPr>
        <w:pStyle w:val="ListParagraph"/>
        <w:numPr>
          <w:ilvl w:val="0"/>
          <w:numId w:val="27"/>
        </w:numPr>
        <w:spacing w:after="0"/>
      </w:pPr>
      <w:r>
        <w:t xml:space="preserve">PR 05 Activity Summary </w:t>
      </w:r>
      <w:r w:rsidR="00EB6342">
        <w:t>b</w:t>
      </w:r>
      <w:r>
        <w:t>y Activity</w:t>
      </w:r>
    </w:p>
    <w:p w:rsidR="00BC29D4" w:rsidRDefault="00BC29D4" w:rsidP="009F7520">
      <w:pPr>
        <w:pStyle w:val="ListParagraph"/>
        <w:numPr>
          <w:ilvl w:val="0"/>
          <w:numId w:val="27"/>
        </w:numPr>
        <w:spacing w:after="0"/>
      </w:pPr>
      <w:r>
        <w:t xml:space="preserve">PR 10 </w:t>
      </w:r>
      <w:r w:rsidR="00EE388C">
        <w:t xml:space="preserve"> </w:t>
      </w:r>
      <w:r>
        <w:t>CDBG Housing Activities</w:t>
      </w:r>
      <w:r w:rsidR="004A3DD3">
        <w:t xml:space="preserve"> for 201</w:t>
      </w:r>
      <w:r w:rsidR="004B24CD">
        <w:t>6</w:t>
      </w:r>
    </w:p>
    <w:p w:rsidR="00BC29D4" w:rsidRDefault="00BC29D4" w:rsidP="009F7520">
      <w:pPr>
        <w:pStyle w:val="ListParagraph"/>
        <w:numPr>
          <w:ilvl w:val="0"/>
          <w:numId w:val="27"/>
        </w:numPr>
        <w:spacing w:after="0"/>
      </w:pPr>
      <w:r>
        <w:t>PR 23 CDBG Summary of Accomplishments</w:t>
      </w:r>
    </w:p>
    <w:p w:rsidR="00BC29D4" w:rsidRDefault="00BC29D4" w:rsidP="009F7520">
      <w:pPr>
        <w:pStyle w:val="ListParagraph"/>
        <w:numPr>
          <w:ilvl w:val="0"/>
          <w:numId w:val="27"/>
        </w:numPr>
        <w:spacing w:after="0"/>
      </w:pPr>
      <w:r>
        <w:t>PR 26 CDBG Financial Summary Report</w:t>
      </w:r>
    </w:p>
    <w:p w:rsidR="00BC29D4" w:rsidRDefault="00BC29D4" w:rsidP="009F7520">
      <w:pPr>
        <w:pStyle w:val="ListParagraph"/>
        <w:numPr>
          <w:ilvl w:val="0"/>
          <w:numId w:val="27"/>
        </w:numPr>
        <w:spacing w:after="0"/>
      </w:pPr>
      <w:r>
        <w:t>PR 83 Section</w:t>
      </w:r>
      <w:r w:rsidR="00EB6342">
        <w:t>s</w:t>
      </w:r>
      <w:r>
        <w:t xml:space="preserve"> 1/2/3 CDBG Performance Measures Report</w:t>
      </w:r>
    </w:p>
    <w:p w:rsidR="004B24CD" w:rsidRDefault="004B24CD" w:rsidP="005A6039">
      <w:pPr>
        <w:tabs>
          <w:tab w:val="left" w:pos="1980"/>
        </w:tabs>
        <w:spacing w:after="0"/>
        <w:ind w:left="360"/>
      </w:pPr>
    </w:p>
    <w:p w:rsidR="004B24CD" w:rsidRDefault="001609AF" w:rsidP="005A6039">
      <w:pPr>
        <w:tabs>
          <w:tab w:val="left" w:pos="1980"/>
        </w:tabs>
        <w:spacing w:after="0"/>
        <w:ind w:left="360"/>
      </w:pPr>
      <w:r w:rsidRPr="008F4F45">
        <w:t xml:space="preserve">Advertisements:  </w:t>
      </w:r>
    </w:p>
    <w:p w:rsidR="009612E4" w:rsidRDefault="004B24CD" w:rsidP="009612E4">
      <w:pPr>
        <w:tabs>
          <w:tab w:val="left" w:pos="900"/>
        </w:tabs>
        <w:spacing w:after="0"/>
        <w:ind w:left="360"/>
      </w:pPr>
      <w:r>
        <w:tab/>
      </w:r>
      <w:r w:rsidR="001609AF">
        <w:t xml:space="preserve">Notice of Public Hearing published </w:t>
      </w:r>
      <w:r w:rsidR="009612E4">
        <w:t>September 27, 2017</w:t>
      </w:r>
    </w:p>
    <w:p w:rsidR="001609AF" w:rsidRDefault="004B24CD" w:rsidP="004B24CD">
      <w:pPr>
        <w:tabs>
          <w:tab w:val="left" w:pos="900"/>
        </w:tabs>
        <w:spacing w:after="0"/>
        <w:ind w:left="360"/>
      </w:pPr>
      <w:r>
        <w:tab/>
      </w:r>
      <w:r w:rsidR="001609AF">
        <w:t>Affidavit of Publication for Public Hearing</w:t>
      </w:r>
    </w:p>
    <w:p w:rsidR="004B24CD" w:rsidRDefault="00CE2693" w:rsidP="009F7520">
      <w:pPr>
        <w:tabs>
          <w:tab w:val="left" w:pos="360"/>
          <w:tab w:val="left" w:pos="1980"/>
        </w:tabs>
        <w:spacing w:after="0"/>
      </w:pPr>
      <w:r>
        <w:tab/>
      </w:r>
      <w:r w:rsidR="004B24CD">
        <w:t>Public Review Legal Ads:</w:t>
      </w:r>
    </w:p>
    <w:p w:rsidR="004B24CD" w:rsidRDefault="004B24CD" w:rsidP="004B24CD">
      <w:pPr>
        <w:tabs>
          <w:tab w:val="left" w:pos="360"/>
          <w:tab w:val="left" w:pos="900"/>
        </w:tabs>
        <w:spacing w:after="0"/>
      </w:pPr>
      <w:r>
        <w:tab/>
      </w:r>
      <w:r>
        <w:tab/>
      </w:r>
      <w:r w:rsidR="001609AF" w:rsidRPr="008F4F45">
        <w:t xml:space="preserve">August 2 </w:t>
      </w:r>
    </w:p>
    <w:p w:rsidR="008F4F45" w:rsidRPr="008F4F45" w:rsidRDefault="004B24CD" w:rsidP="004B24CD">
      <w:pPr>
        <w:tabs>
          <w:tab w:val="left" w:pos="360"/>
          <w:tab w:val="left" w:pos="900"/>
        </w:tabs>
        <w:spacing w:after="0"/>
      </w:pPr>
      <w:r>
        <w:tab/>
      </w:r>
      <w:r>
        <w:tab/>
      </w:r>
      <w:r w:rsidR="001609AF" w:rsidRPr="008F4F45">
        <w:t>August 5, 2016</w:t>
      </w:r>
      <w:r w:rsidR="001609AF">
        <w:t xml:space="preserve"> </w:t>
      </w:r>
    </w:p>
    <w:p w:rsidR="000C42B8" w:rsidRDefault="000C42B8" w:rsidP="009F7520">
      <w:pPr>
        <w:spacing w:after="0"/>
        <w:ind w:left="360"/>
      </w:pPr>
      <w:r w:rsidRPr="008F4F45">
        <w:t>Service Provider Comments</w:t>
      </w:r>
    </w:p>
    <w:p w:rsidR="00EB6342" w:rsidRPr="008F4F45" w:rsidRDefault="00EA3CA1" w:rsidP="009F7520">
      <w:pPr>
        <w:spacing w:after="0"/>
        <w:ind w:left="360"/>
      </w:pPr>
      <w:r>
        <w:t xml:space="preserve">Public Review/Citizen </w:t>
      </w:r>
      <w:r w:rsidR="00EB6342">
        <w:t>Written Comments</w:t>
      </w:r>
      <w:r w:rsidR="006779E1">
        <w:t xml:space="preserve"> (none for 201</w:t>
      </w:r>
      <w:r w:rsidR="004B24CD">
        <w:t>6</w:t>
      </w:r>
      <w:r w:rsidR="006779E1">
        <w:t>)</w:t>
      </w:r>
    </w:p>
    <w:p w:rsidR="000C42B8" w:rsidRDefault="000C42B8" w:rsidP="009F7520">
      <w:pPr>
        <w:spacing w:after="0"/>
        <w:ind w:left="360"/>
      </w:pPr>
      <w:r w:rsidRPr="008F4F45">
        <w:t>Loans and Other Receivables</w:t>
      </w:r>
    </w:p>
    <w:p w:rsidR="007D7080" w:rsidRDefault="00EB6342" w:rsidP="009F7520">
      <w:pPr>
        <w:spacing w:after="0" w:line="240" w:lineRule="auto"/>
        <w:ind w:firstLine="360"/>
      </w:pPr>
      <w:r>
        <w:t>City Council Public Hearing DRAFT Meeting Minutes of August 31, 2016</w:t>
      </w:r>
    </w:p>
    <w:p w:rsidR="009F7520" w:rsidRPr="008F4F45" w:rsidRDefault="009F7520" w:rsidP="009F7520">
      <w:pPr>
        <w:spacing w:after="0" w:line="240" w:lineRule="auto"/>
        <w:ind w:firstLine="360"/>
      </w:pPr>
      <w:r>
        <w:t xml:space="preserve">Public Hearing Sign-Out </w:t>
      </w:r>
    </w:p>
    <w:sectPr w:rsidR="009F7520" w:rsidRPr="008F4F45" w:rsidSect="00C5665B">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698" w:rsidRDefault="00454698">
      <w:r>
        <w:separator/>
      </w:r>
    </w:p>
  </w:endnote>
  <w:endnote w:type="continuationSeparator" w:id="0">
    <w:p w:rsidR="00454698" w:rsidRDefault="00454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4698" w:rsidRDefault="00454698" w:rsidP="006C4868">
    <w:pPr>
      <w:pStyle w:val="Footer"/>
      <w:spacing w:before="120" w:after="0"/>
      <w:rPr>
        <w:rFonts w:asciiTheme="minorHAnsi" w:hAnsiTheme="minorHAnsi"/>
        <w:b/>
        <w:i/>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Look w:val="01E0" w:firstRow="1" w:lastRow="1" w:firstColumn="1" w:lastColumn="1" w:noHBand="0" w:noVBand="0"/>
    </w:tblPr>
    <w:tblGrid>
      <w:gridCol w:w="828"/>
      <w:gridCol w:w="7976"/>
      <w:gridCol w:w="772"/>
    </w:tblGrid>
    <w:tr w:rsidR="00454698">
      <w:trPr>
        <w:jc w:val="center"/>
      </w:trPr>
      <w:tc>
        <w:tcPr>
          <w:tcW w:w="828" w:type="dxa"/>
        </w:tcPr>
        <w:p w:rsidR="00454698" w:rsidRDefault="00454698">
          <w:pPr>
            <w:pStyle w:val="Footer"/>
            <w:spacing w:after="0" w:line="240" w:lineRule="auto"/>
            <w:jc w:val="center"/>
          </w:pPr>
        </w:p>
      </w:tc>
      <w:tc>
        <w:tcPr>
          <w:tcW w:w="7976" w:type="dxa"/>
        </w:tcPr>
        <w:p w:rsidR="00454698" w:rsidRDefault="00454698">
          <w:pPr>
            <w:pStyle w:val="Footer"/>
            <w:spacing w:after="0" w:line="240" w:lineRule="auto"/>
            <w:jc w:val="center"/>
          </w:pPr>
        </w:p>
      </w:tc>
      <w:tc>
        <w:tcPr>
          <w:tcW w:w="772" w:type="dxa"/>
        </w:tcPr>
        <w:p w:rsidR="00454698" w:rsidRDefault="00454698">
          <w:pPr>
            <w:pStyle w:val="Footer"/>
            <w:spacing w:after="0" w:line="240" w:lineRule="auto"/>
            <w:jc w:val="right"/>
          </w:pPr>
        </w:p>
      </w:tc>
    </w:tr>
  </w:tbl>
  <w:p w:rsidR="00454698" w:rsidRPr="00D65F1E" w:rsidRDefault="00454698" w:rsidP="006C4868">
    <w:pPr>
      <w:pStyle w:val="Footer"/>
      <w:pBdr>
        <w:top w:val="thinThickSmallGap" w:sz="24" w:space="1" w:color="622423"/>
      </w:pBdr>
    </w:pPr>
    <w:r w:rsidRPr="00D65F1E">
      <w:t>201</w:t>
    </w:r>
    <w:r>
      <w:t>6 4th PROGRAM YEAR</w:t>
    </w:r>
    <w:r w:rsidRPr="00D65F1E">
      <w:t xml:space="preserve"> CAPER</w:t>
    </w:r>
    <w:r w:rsidRPr="00D65F1E">
      <w:tab/>
      <w:t xml:space="preserve">Page </w:t>
    </w:r>
    <w:r>
      <w:fldChar w:fldCharType="begin"/>
    </w:r>
    <w:r>
      <w:instrText xml:space="preserve"> PAGE   \* MERGEFORMAT </w:instrText>
    </w:r>
    <w:r>
      <w:fldChar w:fldCharType="separate"/>
    </w:r>
    <w:r w:rsidR="001D1232">
      <w:rPr>
        <w:noProof/>
      </w:rPr>
      <w:t>22</w:t>
    </w:r>
    <w:r>
      <w:rPr>
        <w:noProof/>
      </w:rPr>
      <w:fldChar w:fldCharType="end"/>
    </w:r>
    <w:r w:rsidRPr="00060D0F">
      <w:t xml:space="preserve"> </w:t>
    </w:r>
    <w:r>
      <w:tab/>
      <w:t xml:space="preserve"> August 2017</w:t>
    </w:r>
  </w:p>
  <w:p w:rsidR="00454698" w:rsidRDefault="00454698" w:rsidP="006C4868">
    <w:pPr>
      <w:pStyle w:val="Footer"/>
      <w:spacing w:before="120" w:after="0"/>
      <w:rPr>
        <w:rFonts w:asciiTheme="minorHAnsi" w:hAnsiTheme="minorHAnsi"/>
        <w:b/>
        <w:i/>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698" w:rsidRDefault="00454698">
      <w:r>
        <w:separator/>
      </w:r>
    </w:p>
  </w:footnote>
  <w:footnote w:type="continuationSeparator" w:id="0">
    <w:p w:rsidR="00454698" w:rsidRDefault="004546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3108E9C"/>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A3848782"/>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111CDC50"/>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6CECF734"/>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A8B8103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ECD4C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06E986A"/>
    <w:lvl w:ilvl="0">
      <w:start w:val="1"/>
      <w:numFmt w:val="bullet"/>
      <w:lvlText w:val=""/>
      <w:lvlJc w:val="left"/>
      <w:pPr>
        <w:tabs>
          <w:tab w:val="num" w:pos="1080"/>
        </w:tabs>
        <w:ind w:left="1080" w:hanging="360"/>
      </w:pPr>
      <w:rPr>
        <w:rFonts w:ascii="Symbol" w:hAnsi="Symbol" w:hint="default"/>
      </w:rPr>
    </w:lvl>
  </w:abstractNum>
  <w:abstractNum w:abstractNumId="7">
    <w:nsid w:val="FFFFFF88"/>
    <w:multiLevelType w:val="singleLevel"/>
    <w:tmpl w:val="13EC8214"/>
    <w:lvl w:ilvl="0">
      <w:start w:val="1"/>
      <w:numFmt w:val="decimal"/>
      <w:lvlText w:val="%1."/>
      <w:lvlJc w:val="left"/>
      <w:pPr>
        <w:tabs>
          <w:tab w:val="num" w:pos="360"/>
        </w:tabs>
        <w:ind w:left="360" w:hanging="360"/>
      </w:pPr>
      <w:rPr>
        <w:rFonts w:cs="Times New Roman"/>
      </w:rPr>
    </w:lvl>
  </w:abstractNum>
  <w:abstractNum w:abstractNumId="8">
    <w:nsid w:val="FFFFFF89"/>
    <w:multiLevelType w:val="singleLevel"/>
    <w:tmpl w:val="67F0FC44"/>
    <w:lvl w:ilvl="0">
      <w:start w:val="1"/>
      <w:numFmt w:val="bullet"/>
      <w:lvlText w:val=""/>
      <w:lvlJc w:val="left"/>
      <w:pPr>
        <w:tabs>
          <w:tab w:val="num" w:pos="360"/>
        </w:tabs>
        <w:ind w:left="360" w:hanging="360"/>
      </w:pPr>
      <w:rPr>
        <w:rFonts w:ascii="Symbol" w:hAnsi="Symbol" w:hint="default"/>
      </w:rPr>
    </w:lvl>
  </w:abstractNum>
  <w:abstractNum w:abstractNumId="9">
    <w:nsid w:val="042A6DC6"/>
    <w:multiLevelType w:val="hybridMultilevel"/>
    <w:tmpl w:val="203CEBDC"/>
    <w:lvl w:ilvl="0" w:tplc="14542D32">
      <w:start w:val="1"/>
      <w:numFmt w:val="upperRoman"/>
      <w:lvlText w:val="%1."/>
      <w:lvlJc w:val="right"/>
      <w:pPr>
        <w:tabs>
          <w:tab w:val="num" w:pos="720"/>
        </w:tabs>
        <w:ind w:left="720" w:hanging="180"/>
      </w:pPr>
      <w:rPr>
        <w:rFonts w:cs="Times New Roman"/>
      </w:rPr>
    </w:lvl>
    <w:lvl w:ilvl="1" w:tplc="67803A64" w:tentative="1">
      <w:start w:val="1"/>
      <w:numFmt w:val="lowerLetter"/>
      <w:lvlText w:val="%2."/>
      <w:lvlJc w:val="left"/>
      <w:pPr>
        <w:tabs>
          <w:tab w:val="num" w:pos="1440"/>
        </w:tabs>
        <w:ind w:left="1440" w:hanging="360"/>
      </w:pPr>
      <w:rPr>
        <w:rFonts w:cs="Times New Roman"/>
      </w:rPr>
    </w:lvl>
    <w:lvl w:ilvl="2" w:tplc="98046F50" w:tentative="1">
      <w:start w:val="1"/>
      <w:numFmt w:val="lowerRoman"/>
      <w:lvlText w:val="%3."/>
      <w:lvlJc w:val="right"/>
      <w:pPr>
        <w:tabs>
          <w:tab w:val="num" w:pos="2160"/>
        </w:tabs>
        <w:ind w:left="2160" w:hanging="180"/>
      </w:pPr>
      <w:rPr>
        <w:rFonts w:cs="Times New Roman"/>
      </w:rPr>
    </w:lvl>
    <w:lvl w:ilvl="3" w:tplc="BE265A0A" w:tentative="1">
      <w:start w:val="1"/>
      <w:numFmt w:val="decimal"/>
      <w:lvlText w:val="%4."/>
      <w:lvlJc w:val="left"/>
      <w:pPr>
        <w:tabs>
          <w:tab w:val="num" w:pos="2880"/>
        </w:tabs>
        <w:ind w:left="2880" w:hanging="360"/>
      </w:pPr>
      <w:rPr>
        <w:rFonts w:cs="Times New Roman"/>
      </w:rPr>
    </w:lvl>
    <w:lvl w:ilvl="4" w:tplc="CD363FD8" w:tentative="1">
      <w:start w:val="1"/>
      <w:numFmt w:val="lowerLetter"/>
      <w:lvlText w:val="%5."/>
      <w:lvlJc w:val="left"/>
      <w:pPr>
        <w:tabs>
          <w:tab w:val="num" w:pos="3600"/>
        </w:tabs>
        <w:ind w:left="3600" w:hanging="360"/>
      </w:pPr>
      <w:rPr>
        <w:rFonts w:cs="Times New Roman"/>
      </w:rPr>
    </w:lvl>
    <w:lvl w:ilvl="5" w:tplc="8F589258" w:tentative="1">
      <w:start w:val="1"/>
      <w:numFmt w:val="lowerRoman"/>
      <w:lvlText w:val="%6."/>
      <w:lvlJc w:val="right"/>
      <w:pPr>
        <w:tabs>
          <w:tab w:val="num" w:pos="4320"/>
        </w:tabs>
        <w:ind w:left="4320" w:hanging="180"/>
      </w:pPr>
      <w:rPr>
        <w:rFonts w:cs="Times New Roman"/>
      </w:rPr>
    </w:lvl>
    <w:lvl w:ilvl="6" w:tplc="CFA0D1D0" w:tentative="1">
      <w:start w:val="1"/>
      <w:numFmt w:val="decimal"/>
      <w:lvlText w:val="%7."/>
      <w:lvlJc w:val="left"/>
      <w:pPr>
        <w:tabs>
          <w:tab w:val="num" w:pos="5040"/>
        </w:tabs>
        <w:ind w:left="5040" w:hanging="360"/>
      </w:pPr>
      <w:rPr>
        <w:rFonts w:cs="Times New Roman"/>
      </w:rPr>
    </w:lvl>
    <w:lvl w:ilvl="7" w:tplc="B6567604" w:tentative="1">
      <w:start w:val="1"/>
      <w:numFmt w:val="lowerLetter"/>
      <w:lvlText w:val="%8."/>
      <w:lvlJc w:val="left"/>
      <w:pPr>
        <w:tabs>
          <w:tab w:val="num" w:pos="5760"/>
        </w:tabs>
        <w:ind w:left="5760" w:hanging="360"/>
      </w:pPr>
      <w:rPr>
        <w:rFonts w:cs="Times New Roman"/>
      </w:rPr>
    </w:lvl>
    <w:lvl w:ilvl="8" w:tplc="F04C5D8A" w:tentative="1">
      <w:start w:val="1"/>
      <w:numFmt w:val="lowerRoman"/>
      <w:lvlText w:val="%9."/>
      <w:lvlJc w:val="right"/>
      <w:pPr>
        <w:tabs>
          <w:tab w:val="num" w:pos="6480"/>
        </w:tabs>
        <w:ind w:left="6480" w:hanging="180"/>
      </w:pPr>
      <w:rPr>
        <w:rFonts w:cs="Times New Roman"/>
      </w:rPr>
    </w:lvl>
  </w:abstractNum>
  <w:abstractNum w:abstractNumId="10">
    <w:nsid w:val="045B42A3"/>
    <w:multiLevelType w:val="hybridMultilevel"/>
    <w:tmpl w:val="FA82EE94"/>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05873A10"/>
    <w:multiLevelType w:val="multilevel"/>
    <w:tmpl w:val="85C8CAE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0A871DF4"/>
    <w:multiLevelType w:val="hybridMultilevel"/>
    <w:tmpl w:val="C94CE91C"/>
    <w:lvl w:ilvl="0" w:tplc="04090013">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AAA43BC"/>
    <w:multiLevelType w:val="hybridMultilevel"/>
    <w:tmpl w:val="7BD28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AD67041"/>
    <w:multiLevelType w:val="hybridMultilevel"/>
    <w:tmpl w:val="576ADC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5023DB"/>
    <w:multiLevelType w:val="hybridMultilevel"/>
    <w:tmpl w:val="862832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0112607"/>
    <w:multiLevelType w:val="multilevel"/>
    <w:tmpl w:val="85C8CAE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34696C1C"/>
    <w:multiLevelType w:val="hybridMultilevel"/>
    <w:tmpl w:val="64CA23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9B87A31"/>
    <w:multiLevelType w:val="hybridMultilevel"/>
    <w:tmpl w:val="FC96BE4E"/>
    <w:lvl w:ilvl="0" w:tplc="006A4260">
      <w:start w:val="1"/>
      <w:numFmt w:val="decimal"/>
      <w:lvlText w:val="%1."/>
      <w:lvlJc w:val="left"/>
      <w:pPr>
        <w:ind w:left="720" w:hanging="36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1728E6"/>
    <w:multiLevelType w:val="hybridMultilevel"/>
    <w:tmpl w:val="6DD2B3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464612B"/>
    <w:multiLevelType w:val="hybridMultilevel"/>
    <w:tmpl w:val="D1F2A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7A71236"/>
    <w:multiLevelType w:val="multilevel"/>
    <w:tmpl w:val="85C8CAE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C854EE5"/>
    <w:multiLevelType w:val="hybridMultilevel"/>
    <w:tmpl w:val="FF74C49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3">
    <w:nsid w:val="519A3E8F"/>
    <w:multiLevelType w:val="hybridMultilevel"/>
    <w:tmpl w:val="77020142"/>
    <w:lvl w:ilvl="0" w:tplc="51EADB20">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nsid w:val="53372633"/>
    <w:multiLevelType w:val="multilevel"/>
    <w:tmpl w:val="04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58CE2ACE"/>
    <w:multiLevelType w:val="hybridMultilevel"/>
    <w:tmpl w:val="D780CAE8"/>
    <w:lvl w:ilvl="0" w:tplc="4CBC3766">
      <w:start w:val="1"/>
      <w:numFmt w:val="decimal"/>
      <w:lvlText w:val="%1."/>
      <w:lvlJc w:val="left"/>
      <w:pPr>
        <w:tabs>
          <w:tab w:val="num" w:pos="360"/>
        </w:tabs>
        <w:ind w:left="360" w:hanging="360"/>
      </w:pPr>
      <w:rPr>
        <w:rFonts w:cs="Times New Roman"/>
      </w:rPr>
    </w:lvl>
    <w:lvl w:ilvl="1" w:tplc="D56658DC" w:tentative="1">
      <w:start w:val="1"/>
      <w:numFmt w:val="lowerLetter"/>
      <w:lvlText w:val="%2."/>
      <w:lvlJc w:val="left"/>
      <w:pPr>
        <w:tabs>
          <w:tab w:val="num" w:pos="1080"/>
        </w:tabs>
        <w:ind w:left="1080" w:hanging="360"/>
      </w:pPr>
      <w:rPr>
        <w:rFonts w:cs="Times New Roman"/>
      </w:rPr>
    </w:lvl>
    <w:lvl w:ilvl="2" w:tplc="729AF820" w:tentative="1">
      <w:start w:val="1"/>
      <w:numFmt w:val="lowerRoman"/>
      <w:lvlText w:val="%3."/>
      <w:lvlJc w:val="right"/>
      <w:pPr>
        <w:tabs>
          <w:tab w:val="num" w:pos="1800"/>
        </w:tabs>
        <w:ind w:left="1800" w:hanging="180"/>
      </w:pPr>
      <w:rPr>
        <w:rFonts w:cs="Times New Roman"/>
      </w:rPr>
    </w:lvl>
    <w:lvl w:ilvl="3" w:tplc="96688BD8" w:tentative="1">
      <w:start w:val="1"/>
      <w:numFmt w:val="decimal"/>
      <w:lvlText w:val="%4."/>
      <w:lvlJc w:val="left"/>
      <w:pPr>
        <w:tabs>
          <w:tab w:val="num" w:pos="2520"/>
        </w:tabs>
        <w:ind w:left="2520" w:hanging="360"/>
      </w:pPr>
      <w:rPr>
        <w:rFonts w:cs="Times New Roman"/>
      </w:rPr>
    </w:lvl>
    <w:lvl w:ilvl="4" w:tplc="8456803C" w:tentative="1">
      <w:start w:val="1"/>
      <w:numFmt w:val="lowerLetter"/>
      <w:lvlText w:val="%5."/>
      <w:lvlJc w:val="left"/>
      <w:pPr>
        <w:tabs>
          <w:tab w:val="num" w:pos="3240"/>
        </w:tabs>
        <w:ind w:left="3240" w:hanging="360"/>
      </w:pPr>
      <w:rPr>
        <w:rFonts w:cs="Times New Roman"/>
      </w:rPr>
    </w:lvl>
    <w:lvl w:ilvl="5" w:tplc="E4C05826" w:tentative="1">
      <w:start w:val="1"/>
      <w:numFmt w:val="lowerRoman"/>
      <w:lvlText w:val="%6."/>
      <w:lvlJc w:val="right"/>
      <w:pPr>
        <w:tabs>
          <w:tab w:val="num" w:pos="3960"/>
        </w:tabs>
        <w:ind w:left="3960" w:hanging="180"/>
      </w:pPr>
      <w:rPr>
        <w:rFonts w:cs="Times New Roman"/>
      </w:rPr>
    </w:lvl>
    <w:lvl w:ilvl="6" w:tplc="4190C39E" w:tentative="1">
      <w:start w:val="1"/>
      <w:numFmt w:val="decimal"/>
      <w:lvlText w:val="%7."/>
      <w:lvlJc w:val="left"/>
      <w:pPr>
        <w:tabs>
          <w:tab w:val="num" w:pos="4680"/>
        </w:tabs>
        <w:ind w:left="4680" w:hanging="360"/>
      </w:pPr>
      <w:rPr>
        <w:rFonts w:cs="Times New Roman"/>
      </w:rPr>
    </w:lvl>
    <w:lvl w:ilvl="7" w:tplc="3508BFD8" w:tentative="1">
      <w:start w:val="1"/>
      <w:numFmt w:val="lowerLetter"/>
      <w:lvlText w:val="%8."/>
      <w:lvlJc w:val="left"/>
      <w:pPr>
        <w:tabs>
          <w:tab w:val="num" w:pos="5400"/>
        </w:tabs>
        <w:ind w:left="5400" w:hanging="360"/>
      </w:pPr>
      <w:rPr>
        <w:rFonts w:cs="Times New Roman"/>
      </w:rPr>
    </w:lvl>
    <w:lvl w:ilvl="8" w:tplc="5FFCA1A0" w:tentative="1">
      <w:start w:val="1"/>
      <w:numFmt w:val="lowerRoman"/>
      <w:lvlText w:val="%9."/>
      <w:lvlJc w:val="right"/>
      <w:pPr>
        <w:tabs>
          <w:tab w:val="num" w:pos="6120"/>
        </w:tabs>
        <w:ind w:left="6120" w:hanging="180"/>
      </w:pPr>
      <w:rPr>
        <w:rFonts w:cs="Times New Roman"/>
      </w:rPr>
    </w:lvl>
  </w:abstractNum>
  <w:abstractNum w:abstractNumId="26">
    <w:nsid w:val="5F1E5767"/>
    <w:multiLevelType w:val="multilevel"/>
    <w:tmpl w:val="85C8CAE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22D1844"/>
    <w:multiLevelType w:val="multilevel"/>
    <w:tmpl w:val="85C8CAE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7091F31"/>
    <w:multiLevelType w:val="hybridMultilevel"/>
    <w:tmpl w:val="C4FEC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A965B1E"/>
    <w:multiLevelType w:val="multilevel"/>
    <w:tmpl w:val="85C8CAE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D5C4484"/>
    <w:multiLevelType w:val="hybridMultilevel"/>
    <w:tmpl w:val="650616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1">
    <w:nsid w:val="6EDE1986"/>
    <w:multiLevelType w:val="hybridMultilevel"/>
    <w:tmpl w:val="72605EDA"/>
    <w:lvl w:ilvl="0" w:tplc="0409000F">
      <w:start w:val="1"/>
      <w:numFmt w:val="bullet"/>
      <w:lvlText w:val=""/>
      <w:lvlJc w:val="left"/>
      <w:pPr>
        <w:ind w:left="720" w:hanging="360"/>
      </w:pPr>
      <w:rPr>
        <w:rFonts w:ascii="Symbol" w:hAnsi="Symbol" w:hint="default"/>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32">
    <w:nsid w:val="780C2428"/>
    <w:multiLevelType w:val="hybridMultilevel"/>
    <w:tmpl w:val="7166C20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3">
    <w:nsid w:val="784B2800"/>
    <w:multiLevelType w:val="hybridMultilevel"/>
    <w:tmpl w:val="668A3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9A46389"/>
    <w:multiLevelType w:val="multilevel"/>
    <w:tmpl w:val="85C8CAEA"/>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7CAD51AB"/>
    <w:multiLevelType w:val="hybridMultilevel"/>
    <w:tmpl w:val="242AB0BC"/>
    <w:lvl w:ilvl="0" w:tplc="04090001">
      <w:start w:val="1"/>
      <w:numFmt w:val="decimal"/>
      <w:lvlText w:val="%1."/>
      <w:lvlJc w:val="left"/>
      <w:pPr>
        <w:tabs>
          <w:tab w:val="num" w:pos="360"/>
        </w:tabs>
        <w:ind w:left="360" w:hanging="360"/>
      </w:pPr>
      <w:rPr>
        <w:rFonts w:cs="Times New Roman" w:hint="default"/>
      </w:rPr>
    </w:lvl>
    <w:lvl w:ilvl="1" w:tplc="04090003" w:tentative="1">
      <w:start w:val="1"/>
      <w:numFmt w:val="lowerLetter"/>
      <w:lvlText w:val="%2."/>
      <w:lvlJc w:val="left"/>
      <w:pPr>
        <w:tabs>
          <w:tab w:val="num" w:pos="1080"/>
        </w:tabs>
        <w:ind w:left="1080" w:hanging="360"/>
      </w:pPr>
      <w:rPr>
        <w:rFonts w:cs="Times New Roman"/>
      </w:rPr>
    </w:lvl>
    <w:lvl w:ilvl="2" w:tplc="04090005" w:tentative="1">
      <w:start w:val="1"/>
      <w:numFmt w:val="lowerRoman"/>
      <w:lvlText w:val="%3."/>
      <w:lvlJc w:val="right"/>
      <w:pPr>
        <w:tabs>
          <w:tab w:val="num" w:pos="1800"/>
        </w:tabs>
        <w:ind w:left="1800" w:hanging="180"/>
      </w:pPr>
      <w:rPr>
        <w:rFonts w:cs="Times New Roman"/>
      </w:rPr>
    </w:lvl>
    <w:lvl w:ilvl="3" w:tplc="04090001" w:tentative="1">
      <w:start w:val="1"/>
      <w:numFmt w:val="decimal"/>
      <w:lvlText w:val="%4."/>
      <w:lvlJc w:val="left"/>
      <w:pPr>
        <w:tabs>
          <w:tab w:val="num" w:pos="2520"/>
        </w:tabs>
        <w:ind w:left="2520" w:hanging="360"/>
      </w:pPr>
      <w:rPr>
        <w:rFonts w:cs="Times New Roman"/>
      </w:rPr>
    </w:lvl>
    <w:lvl w:ilvl="4" w:tplc="04090003" w:tentative="1">
      <w:start w:val="1"/>
      <w:numFmt w:val="lowerLetter"/>
      <w:lvlText w:val="%5."/>
      <w:lvlJc w:val="left"/>
      <w:pPr>
        <w:tabs>
          <w:tab w:val="num" w:pos="3240"/>
        </w:tabs>
        <w:ind w:left="3240" w:hanging="360"/>
      </w:pPr>
      <w:rPr>
        <w:rFonts w:cs="Times New Roman"/>
      </w:rPr>
    </w:lvl>
    <w:lvl w:ilvl="5" w:tplc="04090005" w:tentative="1">
      <w:start w:val="1"/>
      <w:numFmt w:val="lowerRoman"/>
      <w:lvlText w:val="%6."/>
      <w:lvlJc w:val="right"/>
      <w:pPr>
        <w:tabs>
          <w:tab w:val="num" w:pos="3960"/>
        </w:tabs>
        <w:ind w:left="3960" w:hanging="180"/>
      </w:pPr>
      <w:rPr>
        <w:rFonts w:cs="Times New Roman"/>
      </w:rPr>
    </w:lvl>
    <w:lvl w:ilvl="6" w:tplc="04090001" w:tentative="1">
      <w:start w:val="1"/>
      <w:numFmt w:val="decimal"/>
      <w:lvlText w:val="%7."/>
      <w:lvlJc w:val="left"/>
      <w:pPr>
        <w:tabs>
          <w:tab w:val="num" w:pos="4680"/>
        </w:tabs>
        <w:ind w:left="4680" w:hanging="360"/>
      </w:pPr>
      <w:rPr>
        <w:rFonts w:cs="Times New Roman"/>
      </w:rPr>
    </w:lvl>
    <w:lvl w:ilvl="7" w:tplc="04090003" w:tentative="1">
      <w:start w:val="1"/>
      <w:numFmt w:val="lowerLetter"/>
      <w:lvlText w:val="%8."/>
      <w:lvlJc w:val="left"/>
      <w:pPr>
        <w:tabs>
          <w:tab w:val="num" w:pos="5400"/>
        </w:tabs>
        <w:ind w:left="5400" w:hanging="360"/>
      </w:pPr>
      <w:rPr>
        <w:rFonts w:cs="Times New Roman"/>
      </w:rPr>
    </w:lvl>
    <w:lvl w:ilvl="8" w:tplc="04090005" w:tentative="1">
      <w:start w:val="1"/>
      <w:numFmt w:val="lowerRoman"/>
      <w:lvlText w:val="%9."/>
      <w:lvlJc w:val="right"/>
      <w:pPr>
        <w:tabs>
          <w:tab w:val="num" w:pos="6120"/>
        </w:tabs>
        <w:ind w:left="6120" w:hanging="180"/>
      </w:pPr>
      <w:rPr>
        <w:rFonts w:cs="Times New Roman"/>
      </w:rPr>
    </w:lvl>
  </w:abstractNum>
  <w:num w:numId="1">
    <w:abstractNumId w:val="10"/>
  </w:num>
  <w:num w:numId="2">
    <w:abstractNumId w:val="8"/>
  </w:num>
  <w:num w:numId="3">
    <w:abstractNumId w:val="24"/>
  </w:num>
  <w:num w:numId="4">
    <w:abstractNumId w:val="6"/>
  </w:num>
  <w:num w:numId="5">
    <w:abstractNumId w:val="5"/>
  </w:num>
  <w:num w:numId="6">
    <w:abstractNumId w:val="4"/>
  </w:num>
  <w:num w:numId="7">
    <w:abstractNumId w:val="7"/>
  </w:num>
  <w:num w:numId="8">
    <w:abstractNumId w:val="3"/>
  </w:num>
  <w:num w:numId="9">
    <w:abstractNumId w:val="2"/>
  </w:num>
  <w:num w:numId="10">
    <w:abstractNumId w:val="1"/>
  </w:num>
  <w:num w:numId="11">
    <w:abstractNumId w:val="0"/>
  </w:num>
  <w:num w:numId="12">
    <w:abstractNumId w:val="9"/>
  </w:num>
  <w:num w:numId="13">
    <w:abstractNumId w:val="35"/>
  </w:num>
  <w:num w:numId="14">
    <w:abstractNumId w:val="25"/>
  </w:num>
  <w:num w:numId="15">
    <w:abstractNumId w:val="23"/>
  </w:num>
  <w:num w:numId="16">
    <w:abstractNumId w:val="30"/>
  </w:num>
  <w:num w:numId="17">
    <w:abstractNumId w:val="18"/>
  </w:num>
  <w:num w:numId="18">
    <w:abstractNumId w:val="12"/>
  </w:num>
  <w:num w:numId="19">
    <w:abstractNumId w:val="33"/>
  </w:num>
  <w:num w:numId="20">
    <w:abstractNumId w:val="31"/>
  </w:num>
  <w:num w:numId="21">
    <w:abstractNumId w:val="13"/>
  </w:num>
  <w:num w:numId="22">
    <w:abstractNumId w:val="22"/>
  </w:num>
  <w:num w:numId="23">
    <w:abstractNumId w:val="14"/>
  </w:num>
  <w:num w:numId="24">
    <w:abstractNumId w:val="20"/>
  </w:num>
  <w:num w:numId="25">
    <w:abstractNumId w:val="15"/>
  </w:num>
  <w:num w:numId="26">
    <w:abstractNumId w:val="19"/>
  </w:num>
  <w:num w:numId="27">
    <w:abstractNumId w:val="17"/>
  </w:num>
  <w:num w:numId="28">
    <w:abstractNumId w:val="28"/>
  </w:num>
  <w:num w:numId="29">
    <w:abstractNumId w:val="32"/>
  </w:num>
  <w:num w:numId="30">
    <w:abstractNumId w:val="21"/>
  </w:num>
  <w:num w:numId="31">
    <w:abstractNumId w:val="34"/>
  </w:num>
  <w:num w:numId="32">
    <w:abstractNumId w:val="16"/>
  </w:num>
  <w:num w:numId="33">
    <w:abstractNumId w:val="29"/>
  </w:num>
  <w:num w:numId="34">
    <w:abstractNumId w:val="27"/>
  </w:num>
  <w:num w:numId="35">
    <w:abstractNumId w:val="11"/>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550"/>
    <w:rsid w:val="00000EC6"/>
    <w:rsid w:val="00001671"/>
    <w:rsid w:val="0000299C"/>
    <w:rsid w:val="00003670"/>
    <w:rsid w:val="0000412A"/>
    <w:rsid w:val="00004F01"/>
    <w:rsid w:val="0000697E"/>
    <w:rsid w:val="000101FE"/>
    <w:rsid w:val="000113C6"/>
    <w:rsid w:val="000116B2"/>
    <w:rsid w:val="000136DE"/>
    <w:rsid w:val="00015E96"/>
    <w:rsid w:val="0001643E"/>
    <w:rsid w:val="000202EB"/>
    <w:rsid w:val="000204C7"/>
    <w:rsid w:val="00021A2C"/>
    <w:rsid w:val="00022CF5"/>
    <w:rsid w:val="000237FC"/>
    <w:rsid w:val="00025DEC"/>
    <w:rsid w:val="00026149"/>
    <w:rsid w:val="000263E5"/>
    <w:rsid w:val="00027899"/>
    <w:rsid w:val="00031960"/>
    <w:rsid w:val="00032C1E"/>
    <w:rsid w:val="0003300B"/>
    <w:rsid w:val="0003316E"/>
    <w:rsid w:val="0003459B"/>
    <w:rsid w:val="000346A2"/>
    <w:rsid w:val="00035628"/>
    <w:rsid w:val="000357CA"/>
    <w:rsid w:val="00035F04"/>
    <w:rsid w:val="000365DA"/>
    <w:rsid w:val="00040E81"/>
    <w:rsid w:val="0004292C"/>
    <w:rsid w:val="00042C4D"/>
    <w:rsid w:val="0004355B"/>
    <w:rsid w:val="00043B67"/>
    <w:rsid w:val="00043D33"/>
    <w:rsid w:val="00043FAD"/>
    <w:rsid w:val="00044565"/>
    <w:rsid w:val="00047B10"/>
    <w:rsid w:val="00047E3E"/>
    <w:rsid w:val="000504DD"/>
    <w:rsid w:val="00051194"/>
    <w:rsid w:val="000518AA"/>
    <w:rsid w:val="00053E62"/>
    <w:rsid w:val="00054780"/>
    <w:rsid w:val="00054D96"/>
    <w:rsid w:val="00056828"/>
    <w:rsid w:val="0005745C"/>
    <w:rsid w:val="000576D0"/>
    <w:rsid w:val="00057E29"/>
    <w:rsid w:val="00060CE4"/>
    <w:rsid w:val="00061845"/>
    <w:rsid w:val="00061A16"/>
    <w:rsid w:val="00061B37"/>
    <w:rsid w:val="00061E41"/>
    <w:rsid w:val="000620FD"/>
    <w:rsid w:val="00065D4E"/>
    <w:rsid w:val="000661A8"/>
    <w:rsid w:val="00066930"/>
    <w:rsid w:val="000670CF"/>
    <w:rsid w:val="00067AE7"/>
    <w:rsid w:val="00067FD4"/>
    <w:rsid w:val="00070633"/>
    <w:rsid w:val="00070BBC"/>
    <w:rsid w:val="000712B6"/>
    <w:rsid w:val="00072C8A"/>
    <w:rsid w:val="00072F46"/>
    <w:rsid w:val="000734F6"/>
    <w:rsid w:val="00074919"/>
    <w:rsid w:val="00074DEF"/>
    <w:rsid w:val="0007533E"/>
    <w:rsid w:val="00075AB2"/>
    <w:rsid w:val="00075C2A"/>
    <w:rsid w:val="0007671E"/>
    <w:rsid w:val="00076CF5"/>
    <w:rsid w:val="00076D36"/>
    <w:rsid w:val="0007772D"/>
    <w:rsid w:val="00077F16"/>
    <w:rsid w:val="00080209"/>
    <w:rsid w:val="0008068E"/>
    <w:rsid w:val="00080943"/>
    <w:rsid w:val="00080ECB"/>
    <w:rsid w:val="00081136"/>
    <w:rsid w:val="00081860"/>
    <w:rsid w:val="000825DF"/>
    <w:rsid w:val="000831B8"/>
    <w:rsid w:val="00083B49"/>
    <w:rsid w:val="00083BEB"/>
    <w:rsid w:val="0008420F"/>
    <w:rsid w:val="00084E02"/>
    <w:rsid w:val="00085078"/>
    <w:rsid w:val="00085ECE"/>
    <w:rsid w:val="0008764E"/>
    <w:rsid w:val="00087BEC"/>
    <w:rsid w:val="00091139"/>
    <w:rsid w:val="0009415B"/>
    <w:rsid w:val="0009419B"/>
    <w:rsid w:val="00094604"/>
    <w:rsid w:val="00095B9D"/>
    <w:rsid w:val="00096632"/>
    <w:rsid w:val="00096BAB"/>
    <w:rsid w:val="00096FE3"/>
    <w:rsid w:val="000975D9"/>
    <w:rsid w:val="00097D73"/>
    <w:rsid w:val="000A07F9"/>
    <w:rsid w:val="000A2C96"/>
    <w:rsid w:val="000A3328"/>
    <w:rsid w:val="000A33AB"/>
    <w:rsid w:val="000A3869"/>
    <w:rsid w:val="000A3AF5"/>
    <w:rsid w:val="000A3CA6"/>
    <w:rsid w:val="000A4A92"/>
    <w:rsid w:val="000A6604"/>
    <w:rsid w:val="000A7EB6"/>
    <w:rsid w:val="000B0148"/>
    <w:rsid w:val="000B291F"/>
    <w:rsid w:val="000B45BD"/>
    <w:rsid w:val="000B4CF3"/>
    <w:rsid w:val="000B5D24"/>
    <w:rsid w:val="000B7A3C"/>
    <w:rsid w:val="000C06BA"/>
    <w:rsid w:val="000C0752"/>
    <w:rsid w:val="000C0905"/>
    <w:rsid w:val="000C20FC"/>
    <w:rsid w:val="000C265E"/>
    <w:rsid w:val="000C2C60"/>
    <w:rsid w:val="000C3ACA"/>
    <w:rsid w:val="000C42B8"/>
    <w:rsid w:val="000C5ECC"/>
    <w:rsid w:val="000C666E"/>
    <w:rsid w:val="000C74F3"/>
    <w:rsid w:val="000D0BCD"/>
    <w:rsid w:val="000D14F6"/>
    <w:rsid w:val="000D422A"/>
    <w:rsid w:val="000D488E"/>
    <w:rsid w:val="000D4990"/>
    <w:rsid w:val="000D4AB3"/>
    <w:rsid w:val="000D71A6"/>
    <w:rsid w:val="000D7D16"/>
    <w:rsid w:val="000E0343"/>
    <w:rsid w:val="000E0D5D"/>
    <w:rsid w:val="000E1324"/>
    <w:rsid w:val="000E13BA"/>
    <w:rsid w:val="000E1DFB"/>
    <w:rsid w:val="000E1F9B"/>
    <w:rsid w:val="000E4A11"/>
    <w:rsid w:val="000E5032"/>
    <w:rsid w:val="000E50CC"/>
    <w:rsid w:val="000E53D6"/>
    <w:rsid w:val="000E5FBD"/>
    <w:rsid w:val="000E6121"/>
    <w:rsid w:val="000E640E"/>
    <w:rsid w:val="000E6B9A"/>
    <w:rsid w:val="000E6CB6"/>
    <w:rsid w:val="000E6EDB"/>
    <w:rsid w:val="000E709D"/>
    <w:rsid w:val="000E740F"/>
    <w:rsid w:val="000F00EB"/>
    <w:rsid w:val="000F04AF"/>
    <w:rsid w:val="000F1643"/>
    <w:rsid w:val="000F21DE"/>
    <w:rsid w:val="000F2B7C"/>
    <w:rsid w:val="000F4DB1"/>
    <w:rsid w:val="000F53B7"/>
    <w:rsid w:val="000F6B53"/>
    <w:rsid w:val="0010099E"/>
    <w:rsid w:val="00101E3D"/>
    <w:rsid w:val="00102442"/>
    <w:rsid w:val="00102F89"/>
    <w:rsid w:val="0010332E"/>
    <w:rsid w:val="0010487A"/>
    <w:rsid w:val="00106CAB"/>
    <w:rsid w:val="0010757C"/>
    <w:rsid w:val="001105E4"/>
    <w:rsid w:val="00111D28"/>
    <w:rsid w:val="001121F8"/>
    <w:rsid w:val="00112F30"/>
    <w:rsid w:val="001130CE"/>
    <w:rsid w:val="00114CA6"/>
    <w:rsid w:val="00115066"/>
    <w:rsid w:val="00115FA3"/>
    <w:rsid w:val="00116A55"/>
    <w:rsid w:val="00117AB9"/>
    <w:rsid w:val="00117CAF"/>
    <w:rsid w:val="00120904"/>
    <w:rsid w:val="00123B67"/>
    <w:rsid w:val="00124E85"/>
    <w:rsid w:val="00125428"/>
    <w:rsid w:val="001256B0"/>
    <w:rsid w:val="00125FCA"/>
    <w:rsid w:val="00126022"/>
    <w:rsid w:val="001261A0"/>
    <w:rsid w:val="00131A35"/>
    <w:rsid w:val="00131B7B"/>
    <w:rsid w:val="00132B0C"/>
    <w:rsid w:val="00132CEA"/>
    <w:rsid w:val="00134492"/>
    <w:rsid w:val="00134AEC"/>
    <w:rsid w:val="00134B79"/>
    <w:rsid w:val="0013545A"/>
    <w:rsid w:val="00135B76"/>
    <w:rsid w:val="00135EA7"/>
    <w:rsid w:val="00136724"/>
    <w:rsid w:val="00137DF0"/>
    <w:rsid w:val="00140159"/>
    <w:rsid w:val="00141F8B"/>
    <w:rsid w:val="001442FB"/>
    <w:rsid w:val="00145D82"/>
    <w:rsid w:val="001460FB"/>
    <w:rsid w:val="00150A50"/>
    <w:rsid w:val="00150B00"/>
    <w:rsid w:val="00151FDE"/>
    <w:rsid w:val="001539D4"/>
    <w:rsid w:val="00154D08"/>
    <w:rsid w:val="00154E75"/>
    <w:rsid w:val="00156045"/>
    <w:rsid w:val="00156205"/>
    <w:rsid w:val="00157D8A"/>
    <w:rsid w:val="00157DD0"/>
    <w:rsid w:val="0016089C"/>
    <w:rsid w:val="001609AF"/>
    <w:rsid w:val="00160AC1"/>
    <w:rsid w:val="0016267E"/>
    <w:rsid w:val="00162A99"/>
    <w:rsid w:val="0016323E"/>
    <w:rsid w:val="00163BA8"/>
    <w:rsid w:val="00164969"/>
    <w:rsid w:val="00165B3F"/>
    <w:rsid w:val="00166377"/>
    <w:rsid w:val="00167353"/>
    <w:rsid w:val="0017033B"/>
    <w:rsid w:val="001703C2"/>
    <w:rsid w:val="001728FD"/>
    <w:rsid w:val="00172D3C"/>
    <w:rsid w:val="0017391B"/>
    <w:rsid w:val="001748A8"/>
    <w:rsid w:val="00175A92"/>
    <w:rsid w:val="00176F2C"/>
    <w:rsid w:val="0017711C"/>
    <w:rsid w:val="0017730C"/>
    <w:rsid w:val="001776C5"/>
    <w:rsid w:val="00177DEF"/>
    <w:rsid w:val="00180218"/>
    <w:rsid w:val="00180753"/>
    <w:rsid w:val="00181247"/>
    <w:rsid w:val="00181253"/>
    <w:rsid w:val="0018152B"/>
    <w:rsid w:val="00182420"/>
    <w:rsid w:val="00182A06"/>
    <w:rsid w:val="0018383F"/>
    <w:rsid w:val="00184182"/>
    <w:rsid w:val="00184AE8"/>
    <w:rsid w:val="00184CFB"/>
    <w:rsid w:val="00184F71"/>
    <w:rsid w:val="001861F4"/>
    <w:rsid w:val="00186776"/>
    <w:rsid w:val="00190078"/>
    <w:rsid w:val="00192253"/>
    <w:rsid w:val="00192527"/>
    <w:rsid w:val="00192714"/>
    <w:rsid w:val="00192E4D"/>
    <w:rsid w:val="00193AF0"/>
    <w:rsid w:val="0019437E"/>
    <w:rsid w:val="00194CDA"/>
    <w:rsid w:val="00194DE6"/>
    <w:rsid w:val="00196A4F"/>
    <w:rsid w:val="00196C44"/>
    <w:rsid w:val="00197A7A"/>
    <w:rsid w:val="00197D5D"/>
    <w:rsid w:val="001A0074"/>
    <w:rsid w:val="001A0F7B"/>
    <w:rsid w:val="001A1131"/>
    <w:rsid w:val="001A226D"/>
    <w:rsid w:val="001A23B9"/>
    <w:rsid w:val="001A2DAD"/>
    <w:rsid w:val="001A565F"/>
    <w:rsid w:val="001A62A9"/>
    <w:rsid w:val="001A6644"/>
    <w:rsid w:val="001A6F81"/>
    <w:rsid w:val="001A7F28"/>
    <w:rsid w:val="001B0BA7"/>
    <w:rsid w:val="001B31E1"/>
    <w:rsid w:val="001B40EA"/>
    <w:rsid w:val="001B5AF8"/>
    <w:rsid w:val="001B5D6F"/>
    <w:rsid w:val="001B6520"/>
    <w:rsid w:val="001B6936"/>
    <w:rsid w:val="001B71E8"/>
    <w:rsid w:val="001B75E2"/>
    <w:rsid w:val="001B7DB9"/>
    <w:rsid w:val="001C0914"/>
    <w:rsid w:val="001C1E2B"/>
    <w:rsid w:val="001C2692"/>
    <w:rsid w:val="001C3C19"/>
    <w:rsid w:val="001C4867"/>
    <w:rsid w:val="001C4EAB"/>
    <w:rsid w:val="001C516A"/>
    <w:rsid w:val="001C61C3"/>
    <w:rsid w:val="001C653E"/>
    <w:rsid w:val="001C655D"/>
    <w:rsid w:val="001C696A"/>
    <w:rsid w:val="001C7728"/>
    <w:rsid w:val="001D0384"/>
    <w:rsid w:val="001D1214"/>
    <w:rsid w:val="001D1232"/>
    <w:rsid w:val="001D20E3"/>
    <w:rsid w:val="001D285F"/>
    <w:rsid w:val="001D28B7"/>
    <w:rsid w:val="001D417F"/>
    <w:rsid w:val="001D5457"/>
    <w:rsid w:val="001D6AF5"/>
    <w:rsid w:val="001D6ECF"/>
    <w:rsid w:val="001D6F41"/>
    <w:rsid w:val="001D78ED"/>
    <w:rsid w:val="001E1072"/>
    <w:rsid w:val="001E325A"/>
    <w:rsid w:val="001E3EA8"/>
    <w:rsid w:val="001E4C5B"/>
    <w:rsid w:val="001E551F"/>
    <w:rsid w:val="001E6E6E"/>
    <w:rsid w:val="001E763D"/>
    <w:rsid w:val="001E7D42"/>
    <w:rsid w:val="001E7F13"/>
    <w:rsid w:val="001F0B25"/>
    <w:rsid w:val="001F141F"/>
    <w:rsid w:val="001F1BE7"/>
    <w:rsid w:val="001F2FC4"/>
    <w:rsid w:val="001F3C7D"/>
    <w:rsid w:val="001F485E"/>
    <w:rsid w:val="001F66DB"/>
    <w:rsid w:val="001F68DE"/>
    <w:rsid w:val="001F753C"/>
    <w:rsid w:val="00200D15"/>
    <w:rsid w:val="002021C9"/>
    <w:rsid w:val="00203838"/>
    <w:rsid w:val="00203B50"/>
    <w:rsid w:val="00204E13"/>
    <w:rsid w:val="00205644"/>
    <w:rsid w:val="00205CCE"/>
    <w:rsid w:val="00205FDD"/>
    <w:rsid w:val="002074CC"/>
    <w:rsid w:val="00207A05"/>
    <w:rsid w:val="00210FD6"/>
    <w:rsid w:val="002116BD"/>
    <w:rsid w:val="00211FE8"/>
    <w:rsid w:val="00212E96"/>
    <w:rsid w:val="002137A1"/>
    <w:rsid w:val="00214170"/>
    <w:rsid w:val="00215109"/>
    <w:rsid w:val="00215FFC"/>
    <w:rsid w:val="00216A02"/>
    <w:rsid w:val="00216E22"/>
    <w:rsid w:val="0021781D"/>
    <w:rsid w:val="00217B66"/>
    <w:rsid w:val="00217EA0"/>
    <w:rsid w:val="00220C8E"/>
    <w:rsid w:val="00221262"/>
    <w:rsid w:val="00221C93"/>
    <w:rsid w:val="00221D81"/>
    <w:rsid w:val="002239F3"/>
    <w:rsid w:val="00224031"/>
    <w:rsid w:val="00224741"/>
    <w:rsid w:val="00224CD2"/>
    <w:rsid w:val="002266F1"/>
    <w:rsid w:val="00226B59"/>
    <w:rsid w:val="00230EF6"/>
    <w:rsid w:val="002311BD"/>
    <w:rsid w:val="002323D0"/>
    <w:rsid w:val="0023315D"/>
    <w:rsid w:val="00233524"/>
    <w:rsid w:val="00233956"/>
    <w:rsid w:val="002346CD"/>
    <w:rsid w:val="002352B7"/>
    <w:rsid w:val="00236F35"/>
    <w:rsid w:val="00236F9D"/>
    <w:rsid w:val="002375D2"/>
    <w:rsid w:val="00237F1E"/>
    <w:rsid w:val="00240226"/>
    <w:rsid w:val="00240369"/>
    <w:rsid w:val="00240AEF"/>
    <w:rsid w:val="0024397D"/>
    <w:rsid w:val="0024452B"/>
    <w:rsid w:val="00244ADF"/>
    <w:rsid w:val="00244EDB"/>
    <w:rsid w:val="00247E65"/>
    <w:rsid w:val="0025080C"/>
    <w:rsid w:val="00251268"/>
    <w:rsid w:val="0025136E"/>
    <w:rsid w:val="0025207C"/>
    <w:rsid w:val="00252BE0"/>
    <w:rsid w:val="00254326"/>
    <w:rsid w:val="00254774"/>
    <w:rsid w:val="0025527F"/>
    <w:rsid w:val="0025577D"/>
    <w:rsid w:val="00255CB4"/>
    <w:rsid w:val="0025607E"/>
    <w:rsid w:val="00256481"/>
    <w:rsid w:val="00256E44"/>
    <w:rsid w:val="002570D8"/>
    <w:rsid w:val="002577CE"/>
    <w:rsid w:val="00260080"/>
    <w:rsid w:val="00260770"/>
    <w:rsid w:val="002614F6"/>
    <w:rsid w:val="00261EA3"/>
    <w:rsid w:val="00263CA8"/>
    <w:rsid w:val="002643F3"/>
    <w:rsid w:val="0026448F"/>
    <w:rsid w:val="00265468"/>
    <w:rsid w:val="002660BC"/>
    <w:rsid w:val="00266947"/>
    <w:rsid w:val="00267042"/>
    <w:rsid w:val="002679A8"/>
    <w:rsid w:val="00267FE2"/>
    <w:rsid w:val="0027020F"/>
    <w:rsid w:val="002707F7"/>
    <w:rsid w:val="00270895"/>
    <w:rsid w:val="00270B46"/>
    <w:rsid w:val="002721FA"/>
    <w:rsid w:val="00272758"/>
    <w:rsid w:val="00272E1D"/>
    <w:rsid w:val="00275F5E"/>
    <w:rsid w:val="002764CB"/>
    <w:rsid w:val="0027673E"/>
    <w:rsid w:val="00276D16"/>
    <w:rsid w:val="00277A52"/>
    <w:rsid w:val="00277D0B"/>
    <w:rsid w:val="00281711"/>
    <w:rsid w:val="00283CA8"/>
    <w:rsid w:val="002845D3"/>
    <w:rsid w:val="00284AD9"/>
    <w:rsid w:val="00284E5C"/>
    <w:rsid w:val="00285752"/>
    <w:rsid w:val="00287A50"/>
    <w:rsid w:val="002905D8"/>
    <w:rsid w:val="00291019"/>
    <w:rsid w:val="00292ECE"/>
    <w:rsid w:val="0029339F"/>
    <w:rsid w:val="00294B1B"/>
    <w:rsid w:val="00294CA9"/>
    <w:rsid w:val="00295998"/>
    <w:rsid w:val="002969C3"/>
    <w:rsid w:val="002A0393"/>
    <w:rsid w:val="002A06CE"/>
    <w:rsid w:val="002A2068"/>
    <w:rsid w:val="002A206F"/>
    <w:rsid w:val="002A2980"/>
    <w:rsid w:val="002A32D6"/>
    <w:rsid w:val="002A33F3"/>
    <w:rsid w:val="002A4896"/>
    <w:rsid w:val="002A49B8"/>
    <w:rsid w:val="002A4C6F"/>
    <w:rsid w:val="002A4E8C"/>
    <w:rsid w:val="002A5179"/>
    <w:rsid w:val="002A57D8"/>
    <w:rsid w:val="002A5A4C"/>
    <w:rsid w:val="002A5D07"/>
    <w:rsid w:val="002A6457"/>
    <w:rsid w:val="002A68A8"/>
    <w:rsid w:val="002A74DE"/>
    <w:rsid w:val="002B260A"/>
    <w:rsid w:val="002B57CF"/>
    <w:rsid w:val="002B67A3"/>
    <w:rsid w:val="002C12CE"/>
    <w:rsid w:val="002C155C"/>
    <w:rsid w:val="002C2FAB"/>
    <w:rsid w:val="002C3395"/>
    <w:rsid w:val="002C4269"/>
    <w:rsid w:val="002C451D"/>
    <w:rsid w:val="002C547E"/>
    <w:rsid w:val="002C55DF"/>
    <w:rsid w:val="002C5F73"/>
    <w:rsid w:val="002D34A9"/>
    <w:rsid w:val="002D4043"/>
    <w:rsid w:val="002D478C"/>
    <w:rsid w:val="002D64EE"/>
    <w:rsid w:val="002E1CFD"/>
    <w:rsid w:val="002E26C0"/>
    <w:rsid w:val="002E2948"/>
    <w:rsid w:val="002E373E"/>
    <w:rsid w:val="002E7287"/>
    <w:rsid w:val="002F00E3"/>
    <w:rsid w:val="002F02E5"/>
    <w:rsid w:val="002F2699"/>
    <w:rsid w:val="002F2885"/>
    <w:rsid w:val="002F2A50"/>
    <w:rsid w:val="002F2A9F"/>
    <w:rsid w:val="002F3627"/>
    <w:rsid w:val="002F4183"/>
    <w:rsid w:val="002F475D"/>
    <w:rsid w:val="002F5272"/>
    <w:rsid w:val="002F664F"/>
    <w:rsid w:val="002F7A63"/>
    <w:rsid w:val="003003C0"/>
    <w:rsid w:val="0030068B"/>
    <w:rsid w:val="00300D32"/>
    <w:rsid w:val="00302737"/>
    <w:rsid w:val="00302A61"/>
    <w:rsid w:val="00303611"/>
    <w:rsid w:val="003045F6"/>
    <w:rsid w:val="00304D73"/>
    <w:rsid w:val="00305182"/>
    <w:rsid w:val="003056D6"/>
    <w:rsid w:val="0030598B"/>
    <w:rsid w:val="0030672D"/>
    <w:rsid w:val="00306E0A"/>
    <w:rsid w:val="00311AB2"/>
    <w:rsid w:val="00312C1B"/>
    <w:rsid w:val="00314B0B"/>
    <w:rsid w:val="00316098"/>
    <w:rsid w:val="00316631"/>
    <w:rsid w:val="00316EE5"/>
    <w:rsid w:val="003214A9"/>
    <w:rsid w:val="00321A46"/>
    <w:rsid w:val="0032477D"/>
    <w:rsid w:val="003262D2"/>
    <w:rsid w:val="00327329"/>
    <w:rsid w:val="00327499"/>
    <w:rsid w:val="00327DDD"/>
    <w:rsid w:val="0033058A"/>
    <w:rsid w:val="0033064E"/>
    <w:rsid w:val="00330AC7"/>
    <w:rsid w:val="003316A0"/>
    <w:rsid w:val="0033187D"/>
    <w:rsid w:val="0033195A"/>
    <w:rsid w:val="00331A5A"/>
    <w:rsid w:val="00332A82"/>
    <w:rsid w:val="00332DD3"/>
    <w:rsid w:val="00334122"/>
    <w:rsid w:val="003350EA"/>
    <w:rsid w:val="00335E31"/>
    <w:rsid w:val="003371DB"/>
    <w:rsid w:val="00340596"/>
    <w:rsid w:val="0034130D"/>
    <w:rsid w:val="0034133C"/>
    <w:rsid w:val="003416A3"/>
    <w:rsid w:val="003418CC"/>
    <w:rsid w:val="00341BA7"/>
    <w:rsid w:val="00342143"/>
    <w:rsid w:val="0034477A"/>
    <w:rsid w:val="0034596B"/>
    <w:rsid w:val="00345A27"/>
    <w:rsid w:val="00345DFF"/>
    <w:rsid w:val="00346C40"/>
    <w:rsid w:val="003504FE"/>
    <w:rsid w:val="00350A6A"/>
    <w:rsid w:val="0035191C"/>
    <w:rsid w:val="00351DF3"/>
    <w:rsid w:val="003521B8"/>
    <w:rsid w:val="00352316"/>
    <w:rsid w:val="003543C9"/>
    <w:rsid w:val="00354514"/>
    <w:rsid w:val="003550DA"/>
    <w:rsid w:val="003558E7"/>
    <w:rsid w:val="003563B7"/>
    <w:rsid w:val="00356BA1"/>
    <w:rsid w:val="00357C5C"/>
    <w:rsid w:val="00361CC3"/>
    <w:rsid w:val="00361F07"/>
    <w:rsid w:val="00362BC6"/>
    <w:rsid w:val="003636A4"/>
    <w:rsid w:val="0036574B"/>
    <w:rsid w:val="00365CE8"/>
    <w:rsid w:val="00370291"/>
    <w:rsid w:val="00370741"/>
    <w:rsid w:val="003711AD"/>
    <w:rsid w:val="0037146A"/>
    <w:rsid w:val="0037176A"/>
    <w:rsid w:val="00371907"/>
    <w:rsid w:val="00371C33"/>
    <w:rsid w:val="00371F75"/>
    <w:rsid w:val="00375479"/>
    <w:rsid w:val="0037664B"/>
    <w:rsid w:val="00376B74"/>
    <w:rsid w:val="00377501"/>
    <w:rsid w:val="00380C4B"/>
    <w:rsid w:val="003814EF"/>
    <w:rsid w:val="00383267"/>
    <w:rsid w:val="00383DA8"/>
    <w:rsid w:val="00384469"/>
    <w:rsid w:val="0038498B"/>
    <w:rsid w:val="003850F5"/>
    <w:rsid w:val="00386464"/>
    <w:rsid w:val="00390583"/>
    <w:rsid w:val="00391737"/>
    <w:rsid w:val="003923B5"/>
    <w:rsid w:val="00392557"/>
    <w:rsid w:val="00392942"/>
    <w:rsid w:val="00393270"/>
    <w:rsid w:val="00393D1A"/>
    <w:rsid w:val="00394D6A"/>
    <w:rsid w:val="00394F4A"/>
    <w:rsid w:val="003958CF"/>
    <w:rsid w:val="00395967"/>
    <w:rsid w:val="00396613"/>
    <w:rsid w:val="003A05A0"/>
    <w:rsid w:val="003A05C5"/>
    <w:rsid w:val="003A13CA"/>
    <w:rsid w:val="003A1AEA"/>
    <w:rsid w:val="003A231A"/>
    <w:rsid w:val="003A29AD"/>
    <w:rsid w:val="003A29DF"/>
    <w:rsid w:val="003A2CC8"/>
    <w:rsid w:val="003A3022"/>
    <w:rsid w:val="003A35A7"/>
    <w:rsid w:val="003A3BED"/>
    <w:rsid w:val="003A3DFE"/>
    <w:rsid w:val="003A415B"/>
    <w:rsid w:val="003A457C"/>
    <w:rsid w:val="003A4B51"/>
    <w:rsid w:val="003A4EC2"/>
    <w:rsid w:val="003A5B2A"/>
    <w:rsid w:val="003A683D"/>
    <w:rsid w:val="003B1D6E"/>
    <w:rsid w:val="003B2C21"/>
    <w:rsid w:val="003B2D3A"/>
    <w:rsid w:val="003B441D"/>
    <w:rsid w:val="003B47FF"/>
    <w:rsid w:val="003B66A4"/>
    <w:rsid w:val="003B7C61"/>
    <w:rsid w:val="003C0A70"/>
    <w:rsid w:val="003C0F81"/>
    <w:rsid w:val="003C0FDC"/>
    <w:rsid w:val="003C1628"/>
    <w:rsid w:val="003C2B1B"/>
    <w:rsid w:val="003C43EF"/>
    <w:rsid w:val="003C464D"/>
    <w:rsid w:val="003C4B53"/>
    <w:rsid w:val="003D20C4"/>
    <w:rsid w:val="003D2A74"/>
    <w:rsid w:val="003D4D5B"/>
    <w:rsid w:val="003D4F68"/>
    <w:rsid w:val="003D72A1"/>
    <w:rsid w:val="003D76CD"/>
    <w:rsid w:val="003E0F35"/>
    <w:rsid w:val="003E14A9"/>
    <w:rsid w:val="003E15CA"/>
    <w:rsid w:val="003E1F43"/>
    <w:rsid w:val="003E22CB"/>
    <w:rsid w:val="003E258F"/>
    <w:rsid w:val="003E3F93"/>
    <w:rsid w:val="003E44AF"/>
    <w:rsid w:val="003E4568"/>
    <w:rsid w:val="003E4678"/>
    <w:rsid w:val="003E60F8"/>
    <w:rsid w:val="003E63A1"/>
    <w:rsid w:val="003F0F13"/>
    <w:rsid w:val="003F2FA7"/>
    <w:rsid w:val="003F5F7A"/>
    <w:rsid w:val="004000E2"/>
    <w:rsid w:val="00400274"/>
    <w:rsid w:val="00400B9A"/>
    <w:rsid w:val="004018A3"/>
    <w:rsid w:val="00403D51"/>
    <w:rsid w:val="00404573"/>
    <w:rsid w:val="0040597B"/>
    <w:rsid w:val="0040713A"/>
    <w:rsid w:val="00410632"/>
    <w:rsid w:val="00413518"/>
    <w:rsid w:val="0041369A"/>
    <w:rsid w:val="0041625C"/>
    <w:rsid w:val="00416FB6"/>
    <w:rsid w:val="0041783B"/>
    <w:rsid w:val="00421AFD"/>
    <w:rsid w:val="00421FB8"/>
    <w:rsid w:val="00422843"/>
    <w:rsid w:val="0042286B"/>
    <w:rsid w:val="00422A31"/>
    <w:rsid w:val="004259F8"/>
    <w:rsid w:val="00426BDE"/>
    <w:rsid w:val="00427E7D"/>
    <w:rsid w:val="0043271A"/>
    <w:rsid w:val="00432796"/>
    <w:rsid w:val="00432EB4"/>
    <w:rsid w:val="00432F29"/>
    <w:rsid w:val="0043369A"/>
    <w:rsid w:val="00434057"/>
    <w:rsid w:val="004349D6"/>
    <w:rsid w:val="00435096"/>
    <w:rsid w:val="00435179"/>
    <w:rsid w:val="0044241B"/>
    <w:rsid w:val="00442BD5"/>
    <w:rsid w:val="00443A29"/>
    <w:rsid w:val="004448CA"/>
    <w:rsid w:val="004466BB"/>
    <w:rsid w:val="004468BC"/>
    <w:rsid w:val="00447517"/>
    <w:rsid w:val="00450760"/>
    <w:rsid w:val="00450FE7"/>
    <w:rsid w:val="00451AA9"/>
    <w:rsid w:val="00452EC7"/>
    <w:rsid w:val="00453169"/>
    <w:rsid w:val="00453175"/>
    <w:rsid w:val="00453780"/>
    <w:rsid w:val="0045398A"/>
    <w:rsid w:val="00454698"/>
    <w:rsid w:val="00455153"/>
    <w:rsid w:val="00455495"/>
    <w:rsid w:val="00455FD2"/>
    <w:rsid w:val="004578B6"/>
    <w:rsid w:val="00460D27"/>
    <w:rsid w:val="00463CA5"/>
    <w:rsid w:val="0046509D"/>
    <w:rsid w:val="00465117"/>
    <w:rsid w:val="0046519F"/>
    <w:rsid w:val="00465236"/>
    <w:rsid w:val="004657FC"/>
    <w:rsid w:val="0046678C"/>
    <w:rsid w:val="0046760B"/>
    <w:rsid w:val="00470275"/>
    <w:rsid w:val="004702B9"/>
    <w:rsid w:val="00470BB5"/>
    <w:rsid w:val="004718FE"/>
    <w:rsid w:val="00473122"/>
    <w:rsid w:val="004735D8"/>
    <w:rsid w:val="0047387E"/>
    <w:rsid w:val="00474B58"/>
    <w:rsid w:val="00474C83"/>
    <w:rsid w:val="00480DA8"/>
    <w:rsid w:val="004829FE"/>
    <w:rsid w:val="00483625"/>
    <w:rsid w:val="00483D68"/>
    <w:rsid w:val="004854F8"/>
    <w:rsid w:val="0048572B"/>
    <w:rsid w:val="00486E7B"/>
    <w:rsid w:val="004871B3"/>
    <w:rsid w:val="00487807"/>
    <w:rsid w:val="00487944"/>
    <w:rsid w:val="00490153"/>
    <w:rsid w:val="004914A6"/>
    <w:rsid w:val="00492522"/>
    <w:rsid w:val="00492CAF"/>
    <w:rsid w:val="00494561"/>
    <w:rsid w:val="00495D87"/>
    <w:rsid w:val="00495F6A"/>
    <w:rsid w:val="00496E0E"/>
    <w:rsid w:val="004A07BF"/>
    <w:rsid w:val="004A1723"/>
    <w:rsid w:val="004A1D57"/>
    <w:rsid w:val="004A2462"/>
    <w:rsid w:val="004A28FA"/>
    <w:rsid w:val="004A2A46"/>
    <w:rsid w:val="004A3DD3"/>
    <w:rsid w:val="004A3E05"/>
    <w:rsid w:val="004A5050"/>
    <w:rsid w:val="004A61B9"/>
    <w:rsid w:val="004A6DDF"/>
    <w:rsid w:val="004A7384"/>
    <w:rsid w:val="004A7843"/>
    <w:rsid w:val="004A7D6B"/>
    <w:rsid w:val="004A7DCF"/>
    <w:rsid w:val="004B24CD"/>
    <w:rsid w:val="004B35BC"/>
    <w:rsid w:val="004B3E8D"/>
    <w:rsid w:val="004B4E38"/>
    <w:rsid w:val="004B50AE"/>
    <w:rsid w:val="004B5691"/>
    <w:rsid w:val="004B70F0"/>
    <w:rsid w:val="004B757F"/>
    <w:rsid w:val="004B793B"/>
    <w:rsid w:val="004C0183"/>
    <w:rsid w:val="004C0761"/>
    <w:rsid w:val="004C125A"/>
    <w:rsid w:val="004C1BB2"/>
    <w:rsid w:val="004C280F"/>
    <w:rsid w:val="004C468D"/>
    <w:rsid w:val="004C554B"/>
    <w:rsid w:val="004C567B"/>
    <w:rsid w:val="004C7180"/>
    <w:rsid w:val="004C753E"/>
    <w:rsid w:val="004C7E89"/>
    <w:rsid w:val="004D3765"/>
    <w:rsid w:val="004D3AE0"/>
    <w:rsid w:val="004D3B60"/>
    <w:rsid w:val="004D4D70"/>
    <w:rsid w:val="004D5110"/>
    <w:rsid w:val="004D52DA"/>
    <w:rsid w:val="004E06E9"/>
    <w:rsid w:val="004E191C"/>
    <w:rsid w:val="004E22F6"/>
    <w:rsid w:val="004E2C11"/>
    <w:rsid w:val="004E2E25"/>
    <w:rsid w:val="004E353A"/>
    <w:rsid w:val="004E6449"/>
    <w:rsid w:val="004E6D80"/>
    <w:rsid w:val="004E7BE9"/>
    <w:rsid w:val="004E7D05"/>
    <w:rsid w:val="004F07E5"/>
    <w:rsid w:val="004F0D4F"/>
    <w:rsid w:val="004F0F57"/>
    <w:rsid w:val="004F2470"/>
    <w:rsid w:val="004F2D29"/>
    <w:rsid w:val="004F38B8"/>
    <w:rsid w:val="004F3C75"/>
    <w:rsid w:val="004F5187"/>
    <w:rsid w:val="004F51E6"/>
    <w:rsid w:val="004F680F"/>
    <w:rsid w:val="004F6AF4"/>
    <w:rsid w:val="004F6D6B"/>
    <w:rsid w:val="004F70DE"/>
    <w:rsid w:val="004F7534"/>
    <w:rsid w:val="004F7A38"/>
    <w:rsid w:val="0050137C"/>
    <w:rsid w:val="00502117"/>
    <w:rsid w:val="005038F5"/>
    <w:rsid w:val="00503E6D"/>
    <w:rsid w:val="00503EE0"/>
    <w:rsid w:val="00504EE0"/>
    <w:rsid w:val="0050535B"/>
    <w:rsid w:val="00505EB1"/>
    <w:rsid w:val="005074B6"/>
    <w:rsid w:val="005104BB"/>
    <w:rsid w:val="00511462"/>
    <w:rsid w:val="00511841"/>
    <w:rsid w:val="00511A6D"/>
    <w:rsid w:val="00512D05"/>
    <w:rsid w:val="00512E1B"/>
    <w:rsid w:val="00515ECB"/>
    <w:rsid w:val="00516B63"/>
    <w:rsid w:val="00520331"/>
    <w:rsid w:val="00520986"/>
    <w:rsid w:val="00521B6A"/>
    <w:rsid w:val="0052234D"/>
    <w:rsid w:val="005231CD"/>
    <w:rsid w:val="00523217"/>
    <w:rsid w:val="00526159"/>
    <w:rsid w:val="005276DC"/>
    <w:rsid w:val="00527D19"/>
    <w:rsid w:val="00530312"/>
    <w:rsid w:val="00530783"/>
    <w:rsid w:val="00534D2C"/>
    <w:rsid w:val="00536B89"/>
    <w:rsid w:val="00536CE1"/>
    <w:rsid w:val="00537533"/>
    <w:rsid w:val="005401AF"/>
    <w:rsid w:val="00540586"/>
    <w:rsid w:val="005417CD"/>
    <w:rsid w:val="00541E39"/>
    <w:rsid w:val="00542D7E"/>
    <w:rsid w:val="00543389"/>
    <w:rsid w:val="00543662"/>
    <w:rsid w:val="005438C6"/>
    <w:rsid w:val="00543FF6"/>
    <w:rsid w:val="00544E99"/>
    <w:rsid w:val="00551421"/>
    <w:rsid w:val="005535E3"/>
    <w:rsid w:val="00554930"/>
    <w:rsid w:val="00554CC3"/>
    <w:rsid w:val="005552B5"/>
    <w:rsid w:val="00556658"/>
    <w:rsid w:val="00556A53"/>
    <w:rsid w:val="005578DD"/>
    <w:rsid w:val="00557BF4"/>
    <w:rsid w:val="005607C4"/>
    <w:rsid w:val="00560DD5"/>
    <w:rsid w:val="00561112"/>
    <w:rsid w:val="00562454"/>
    <w:rsid w:val="005630FB"/>
    <w:rsid w:val="0056434A"/>
    <w:rsid w:val="0056551A"/>
    <w:rsid w:val="005660B4"/>
    <w:rsid w:val="0056695E"/>
    <w:rsid w:val="00566C96"/>
    <w:rsid w:val="0056782A"/>
    <w:rsid w:val="00570790"/>
    <w:rsid w:val="005716CD"/>
    <w:rsid w:val="00571F78"/>
    <w:rsid w:val="005720BF"/>
    <w:rsid w:val="00572D8A"/>
    <w:rsid w:val="00572E71"/>
    <w:rsid w:val="0057316C"/>
    <w:rsid w:val="005736E3"/>
    <w:rsid w:val="00573F89"/>
    <w:rsid w:val="00575486"/>
    <w:rsid w:val="005754A9"/>
    <w:rsid w:val="00575829"/>
    <w:rsid w:val="005803CD"/>
    <w:rsid w:val="00580B63"/>
    <w:rsid w:val="005816FC"/>
    <w:rsid w:val="00581869"/>
    <w:rsid w:val="00583B84"/>
    <w:rsid w:val="00583D2D"/>
    <w:rsid w:val="0058430F"/>
    <w:rsid w:val="00584916"/>
    <w:rsid w:val="00584C2C"/>
    <w:rsid w:val="00585642"/>
    <w:rsid w:val="005856C6"/>
    <w:rsid w:val="005861B6"/>
    <w:rsid w:val="00586608"/>
    <w:rsid w:val="00586E5A"/>
    <w:rsid w:val="005910DA"/>
    <w:rsid w:val="00593262"/>
    <w:rsid w:val="005932A7"/>
    <w:rsid w:val="005943CB"/>
    <w:rsid w:val="00594456"/>
    <w:rsid w:val="00594D9A"/>
    <w:rsid w:val="00595FEF"/>
    <w:rsid w:val="005967C6"/>
    <w:rsid w:val="005A031D"/>
    <w:rsid w:val="005A06D4"/>
    <w:rsid w:val="005A185B"/>
    <w:rsid w:val="005A2798"/>
    <w:rsid w:val="005A3617"/>
    <w:rsid w:val="005A3664"/>
    <w:rsid w:val="005A384F"/>
    <w:rsid w:val="005A4BF9"/>
    <w:rsid w:val="005A56A4"/>
    <w:rsid w:val="005A6039"/>
    <w:rsid w:val="005A61D1"/>
    <w:rsid w:val="005A6341"/>
    <w:rsid w:val="005A6511"/>
    <w:rsid w:val="005A689C"/>
    <w:rsid w:val="005A6EB7"/>
    <w:rsid w:val="005A7895"/>
    <w:rsid w:val="005A7B5B"/>
    <w:rsid w:val="005B0B71"/>
    <w:rsid w:val="005B2689"/>
    <w:rsid w:val="005B286D"/>
    <w:rsid w:val="005B3518"/>
    <w:rsid w:val="005B41CA"/>
    <w:rsid w:val="005B71FB"/>
    <w:rsid w:val="005B76D7"/>
    <w:rsid w:val="005C1A32"/>
    <w:rsid w:val="005C1B2E"/>
    <w:rsid w:val="005C2DDC"/>
    <w:rsid w:val="005C52A4"/>
    <w:rsid w:val="005C6824"/>
    <w:rsid w:val="005D0D3F"/>
    <w:rsid w:val="005D0FEB"/>
    <w:rsid w:val="005D112C"/>
    <w:rsid w:val="005D1834"/>
    <w:rsid w:val="005D28B7"/>
    <w:rsid w:val="005D380C"/>
    <w:rsid w:val="005D52FB"/>
    <w:rsid w:val="005D53B6"/>
    <w:rsid w:val="005D54AC"/>
    <w:rsid w:val="005D608D"/>
    <w:rsid w:val="005D6411"/>
    <w:rsid w:val="005D6D7E"/>
    <w:rsid w:val="005D71C5"/>
    <w:rsid w:val="005D725E"/>
    <w:rsid w:val="005D76F8"/>
    <w:rsid w:val="005D7846"/>
    <w:rsid w:val="005E4E90"/>
    <w:rsid w:val="005E5820"/>
    <w:rsid w:val="005E58CC"/>
    <w:rsid w:val="005E624A"/>
    <w:rsid w:val="005E6622"/>
    <w:rsid w:val="005E6E59"/>
    <w:rsid w:val="005E753D"/>
    <w:rsid w:val="005E7F95"/>
    <w:rsid w:val="005F020B"/>
    <w:rsid w:val="005F13D3"/>
    <w:rsid w:val="005F2A36"/>
    <w:rsid w:val="005F324E"/>
    <w:rsid w:val="005F395E"/>
    <w:rsid w:val="005F4B6C"/>
    <w:rsid w:val="005F4E97"/>
    <w:rsid w:val="005F6B8E"/>
    <w:rsid w:val="005F6C30"/>
    <w:rsid w:val="005F6F31"/>
    <w:rsid w:val="005F7431"/>
    <w:rsid w:val="005F7D60"/>
    <w:rsid w:val="0060065D"/>
    <w:rsid w:val="0060158B"/>
    <w:rsid w:val="006016B0"/>
    <w:rsid w:val="00601936"/>
    <w:rsid w:val="00601C4F"/>
    <w:rsid w:val="0060228B"/>
    <w:rsid w:val="006033BB"/>
    <w:rsid w:val="00604858"/>
    <w:rsid w:val="00604D36"/>
    <w:rsid w:val="006050EE"/>
    <w:rsid w:val="006051A3"/>
    <w:rsid w:val="006053DE"/>
    <w:rsid w:val="0060618D"/>
    <w:rsid w:val="00611099"/>
    <w:rsid w:val="00612499"/>
    <w:rsid w:val="0061254A"/>
    <w:rsid w:val="00612D8D"/>
    <w:rsid w:val="00614724"/>
    <w:rsid w:val="00615675"/>
    <w:rsid w:val="00615EB2"/>
    <w:rsid w:val="00616684"/>
    <w:rsid w:val="00616EA7"/>
    <w:rsid w:val="00617974"/>
    <w:rsid w:val="006206BB"/>
    <w:rsid w:val="006211BC"/>
    <w:rsid w:val="006222B0"/>
    <w:rsid w:val="00622F8D"/>
    <w:rsid w:val="0062324B"/>
    <w:rsid w:val="00624399"/>
    <w:rsid w:val="006250FB"/>
    <w:rsid w:val="00626214"/>
    <w:rsid w:val="00626273"/>
    <w:rsid w:val="00626E96"/>
    <w:rsid w:val="006278C0"/>
    <w:rsid w:val="00630290"/>
    <w:rsid w:val="00630997"/>
    <w:rsid w:val="00631BA7"/>
    <w:rsid w:val="00631E30"/>
    <w:rsid w:val="00633253"/>
    <w:rsid w:val="006343B2"/>
    <w:rsid w:val="00634978"/>
    <w:rsid w:val="00634F83"/>
    <w:rsid w:val="00635656"/>
    <w:rsid w:val="00635C86"/>
    <w:rsid w:val="00637636"/>
    <w:rsid w:val="00640D75"/>
    <w:rsid w:val="0064381D"/>
    <w:rsid w:val="00644A8B"/>
    <w:rsid w:val="00645B80"/>
    <w:rsid w:val="00647D86"/>
    <w:rsid w:val="006517B9"/>
    <w:rsid w:val="00652006"/>
    <w:rsid w:val="0065246C"/>
    <w:rsid w:val="00654D27"/>
    <w:rsid w:val="0065549B"/>
    <w:rsid w:val="006637A3"/>
    <w:rsid w:val="006641F3"/>
    <w:rsid w:val="00664A61"/>
    <w:rsid w:val="006651FC"/>
    <w:rsid w:val="00665241"/>
    <w:rsid w:val="00665277"/>
    <w:rsid w:val="00665396"/>
    <w:rsid w:val="006655A4"/>
    <w:rsid w:val="006664DF"/>
    <w:rsid w:val="00667667"/>
    <w:rsid w:val="00667719"/>
    <w:rsid w:val="00667C28"/>
    <w:rsid w:val="00670946"/>
    <w:rsid w:val="00671C60"/>
    <w:rsid w:val="00672E7A"/>
    <w:rsid w:val="006730D6"/>
    <w:rsid w:val="006736ED"/>
    <w:rsid w:val="00673DC6"/>
    <w:rsid w:val="00674C23"/>
    <w:rsid w:val="00675241"/>
    <w:rsid w:val="00675AA1"/>
    <w:rsid w:val="00675D1C"/>
    <w:rsid w:val="00676791"/>
    <w:rsid w:val="00676FF0"/>
    <w:rsid w:val="00677859"/>
    <w:rsid w:val="006779E1"/>
    <w:rsid w:val="00677C85"/>
    <w:rsid w:val="00680748"/>
    <w:rsid w:val="006807A4"/>
    <w:rsid w:val="00680AF7"/>
    <w:rsid w:val="00680D20"/>
    <w:rsid w:val="00681780"/>
    <w:rsid w:val="006817C2"/>
    <w:rsid w:val="00681CD4"/>
    <w:rsid w:val="00681E5C"/>
    <w:rsid w:val="006827E4"/>
    <w:rsid w:val="006851AB"/>
    <w:rsid w:val="006867F9"/>
    <w:rsid w:val="00686948"/>
    <w:rsid w:val="00686BDA"/>
    <w:rsid w:val="006873D5"/>
    <w:rsid w:val="006876CB"/>
    <w:rsid w:val="00691CC4"/>
    <w:rsid w:val="0069273F"/>
    <w:rsid w:val="00693BED"/>
    <w:rsid w:val="006942F4"/>
    <w:rsid w:val="006950B9"/>
    <w:rsid w:val="006951F3"/>
    <w:rsid w:val="00695779"/>
    <w:rsid w:val="00695965"/>
    <w:rsid w:val="006960B5"/>
    <w:rsid w:val="0069718C"/>
    <w:rsid w:val="006A05C1"/>
    <w:rsid w:val="006A0FD9"/>
    <w:rsid w:val="006A139B"/>
    <w:rsid w:val="006A1B9F"/>
    <w:rsid w:val="006A3251"/>
    <w:rsid w:val="006A35F7"/>
    <w:rsid w:val="006A3E2C"/>
    <w:rsid w:val="006A3F90"/>
    <w:rsid w:val="006A5429"/>
    <w:rsid w:val="006A5CF6"/>
    <w:rsid w:val="006A7B8B"/>
    <w:rsid w:val="006A7E51"/>
    <w:rsid w:val="006B04CE"/>
    <w:rsid w:val="006B17E1"/>
    <w:rsid w:val="006B3540"/>
    <w:rsid w:val="006B39A3"/>
    <w:rsid w:val="006B4C68"/>
    <w:rsid w:val="006B53E2"/>
    <w:rsid w:val="006B5478"/>
    <w:rsid w:val="006C0080"/>
    <w:rsid w:val="006C0616"/>
    <w:rsid w:val="006C1C1B"/>
    <w:rsid w:val="006C1DD6"/>
    <w:rsid w:val="006C346C"/>
    <w:rsid w:val="006C3518"/>
    <w:rsid w:val="006C3D1E"/>
    <w:rsid w:val="006C3FD7"/>
    <w:rsid w:val="006C44E9"/>
    <w:rsid w:val="006C4868"/>
    <w:rsid w:val="006C4C77"/>
    <w:rsid w:val="006C71BE"/>
    <w:rsid w:val="006C7539"/>
    <w:rsid w:val="006C7D23"/>
    <w:rsid w:val="006D07DB"/>
    <w:rsid w:val="006D1BF1"/>
    <w:rsid w:val="006D34BA"/>
    <w:rsid w:val="006D3FDB"/>
    <w:rsid w:val="006D427F"/>
    <w:rsid w:val="006D4845"/>
    <w:rsid w:val="006D658C"/>
    <w:rsid w:val="006D73F2"/>
    <w:rsid w:val="006D77EE"/>
    <w:rsid w:val="006D7C8A"/>
    <w:rsid w:val="006E041E"/>
    <w:rsid w:val="006E25C5"/>
    <w:rsid w:val="006E282A"/>
    <w:rsid w:val="006E3482"/>
    <w:rsid w:val="006E3737"/>
    <w:rsid w:val="006E4DEC"/>
    <w:rsid w:val="006E50E0"/>
    <w:rsid w:val="006E59B8"/>
    <w:rsid w:val="006E5F96"/>
    <w:rsid w:val="006E6627"/>
    <w:rsid w:val="006E67EA"/>
    <w:rsid w:val="006F0A51"/>
    <w:rsid w:val="006F12D9"/>
    <w:rsid w:val="006F2050"/>
    <w:rsid w:val="006F255E"/>
    <w:rsid w:val="006F354E"/>
    <w:rsid w:val="006F3D64"/>
    <w:rsid w:val="006F5D4E"/>
    <w:rsid w:val="006F647A"/>
    <w:rsid w:val="006F746C"/>
    <w:rsid w:val="006F78BB"/>
    <w:rsid w:val="006F7A4C"/>
    <w:rsid w:val="006F7AD9"/>
    <w:rsid w:val="006F7D82"/>
    <w:rsid w:val="00700561"/>
    <w:rsid w:val="00700B1B"/>
    <w:rsid w:val="00700BA1"/>
    <w:rsid w:val="00700DFD"/>
    <w:rsid w:val="00702AC5"/>
    <w:rsid w:val="007045E2"/>
    <w:rsid w:val="00704AEF"/>
    <w:rsid w:val="00704FE4"/>
    <w:rsid w:val="00705DFE"/>
    <w:rsid w:val="00710AC0"/>
    <w:rsid w:val="00711703"/>
    <w:rsid w:val="007117C0"/>
    <w:rsid w:val="00712C28"/>
    <w:rsid w:val="00713485"/>
    <w:rsid w:val="007137DF"/>
    <w:rsid w:val="00713DB8"/>
    <w:rsid w:val="00715B36"/>
    <w:rsid w:val="007164AA"/>
    <w:rsid w:val="007165EE"/>
    <w:rsid w:val="007172F1"/>
    <w:rsid w:val="00720386"/>
    <w:rsid w:val="00720AF1"/>
    <w:rsid w:val="00720EDD"/>
    <w:rsid w:val="0072118D"/>
    <w:rsid w:val="00721618"/>
    <w:rsid w:val="00721B86"/>
    <w:rsid w:val="00721F36"/>
    <w:rsid w:val="00722326"/>
    <w:rsid w:val="00722B5D"/>
    <w:rsid w:val="007248D7"/>
    <w:rsid w:val="00725EA1"/>
    <w:rsid w:val="00726A4A"/>
    <w:rsid w:val="007333B9"/>
    <w:rsid w:val="00733D16"/>
    <w:rsid w:val="0073427D"/>
    <w:rsid w:val="0073540A"/>
    <w:rsid w:val="007368B2"/>
    <w:rsid w:val="0074012D"/>
    <w:rsid w:val="007412C3"/>
    <w:rsid w:val="0074344B"/>
    <w:rsid w:val="007444F7"/>
    <w:rsid w:val="00745E9A"/>
    <w:rsid w:val="0075079F"/>
    <w:rsid w:val="00750EA1"/>
    <w:rsid w:val="00752484"/>
    <w:rsid w:val="007537BD"/>
    <w:rsid w:val="007569D8"/>
    <w:rsid w:val="007575E9"/>
    <w:rsid w:val="007577DC"/>
    <w:rsid w:val="0076214F"/>
    <w:rsid w:val="007631AF"/>
    <w:rsid w:val="00764377"/>
    <w:rsid w:val="007649B9"/>
    <w:rsid w:val="0076588A"/>
    <w:rsid w:val="00765FC2"/>
    <w:rsid w:val="00770B75"/>
    <w:rsid w:val="00771668"/>
    <w:rsid w:val="007724C7"/>
    <w:rsid w:val="00772BE1"/>
    <w:rsid w:val="0077305B"/>
    <w:rsid w:val="007730F1"/>
    <w:rsid w:val="007737B6"/>
    <w:rsid w:val="00774AF0"/>
    <w:rsid w:val="00774F22"/>
    <w:rsid w:val="0077550C"/>
    <w:rsid w:val="007756A3"/>
    <w:rsid w:val="007764E9"/>
    <w:rsid w:val="0077775E"/>
    <w:rsid w:val="00777817"/>
    <w:rsid w:val="00781085"/>
    <w:rsid w:val="00782307"/>
    <w:rsid w:val="0078251F"/>
    <w:rsid w:val="00782F74"/>
    <w:rsid w:val="00783551"/>
    <w:rsid w:val="00784DD0"/>
    <w:rsid w:val="00784F23"/>
    <w:rsid w:val="007851FC"/>
    <w:rsid w:val="0078560A"/>
    <w:rsid w:val="00785BF8"/>
    <w:rsid w:val="00787012"/>
    <w:rsid w:val="00787544"/>
    <w:rsid w:val="00787FA3"/>
    <w:rsid w:val="00790CB6"/>
    <w:rsid w:val="00791DCE"/>
    <w:rsid w:val="0079226E"/>
    <w:rsid w:val="007924A1"/>
    <w:rsid w:val="00793C28"/>
    <w:rsid w:val="00794935"/>
    <w:rsid w:val="00795021"/>
    <w:rsid w:val="00796F79"/>
    <w:rsid w:val="007A05ED"/>
    <w:rsid w:val="007A0B29"/>
    <w:rsid w:val="007A1198"/>
    <w:rsid w:val="007A2801"/>
    <w:rsid w:val="007A2D99"/>
    <w:rsid w:val="007A45CE"/>
    <w:rsid w:val="007A4835"/>
    <w:rsid w:val="007A55B0"/>
    <w:rsid w:val="007A5CD8"/>
    <w:rsid w:val="007A6A94"/>
    <w:rsid w:val="007A6C54"/>
    <w:rsid w:val="007A6E48"/>
    <w:rsid w:val="007A705F"/>
    <w:rsid w:val="007B0DDC"/>
    <w:rsid w:val="007B11DD"/>
    <w:rsid w:val="007B2073"/>
    <w:rsid w:val="007B24CD"/>
    <w:rsid w:val="007B262D"/>
    <w:rsid w:val="007B35D2"/>
    <w:rsid w:val="007B5415"/>
    <w:rsid w:val="007B54C3"/>
    <w:rsid w:val="007C0902"/>
    <w:rsid w:val="007C0E6F"/>
    <w:rsid w:val="007C1DF7"/>
    <w:rsid w:val="007C2B34"/>
    <w:rsid w:val="007C3890"/>
    <w:rsid w:val="007C3C92"/>
    <w:rsid w:val="007C3E50"/>
    <w:rsid w:val="007C3F92"/>
    <w:rsid w:val="007C4E9D"/>
    <w:rsid w:val="007C62EF"/>
    <w:rsid w:val="007C709C"/>
    <w:rsid w:val="007D0172"/>
    <w:rsid w:val="007D0449"/>
    <w:rsid w:val="007D0F81"/>
    <w:rsid w:val="007D2AAE"/>
    <w:rsid w:val="007D2CB6"/>
    <w:rsid w:val="007D35EA"/>
    <w:rsid w:val="007D3B2C"/>
    <w:rsid w:val="007D3C37"/>
    <w:rsid w:val="007D407D"/>
    <w:rsid w:val="007D4512"/>
    <w:rsid w:val="007D5974"/>
    <w:rsid w:val="007D670D"/>
    <w:rsid w:val="007D6C6C"/>
    <w:rsid w:val="007D7080"/>
    <w:rsid w:val="007D7EA9"/>
    <w:rsid w:val="007E06DB"/>
    <w:rsid w:val="007E1334"/>
    <w:rsid w:val="007E1C65"/>
    <w:rsid w:val="007E35DA"/>
    <w:rsid w:val="007E3C8A"/>
    <w:rsid w:val="007E3F10"/>
    <w:rsid w:val="007E6CCB"/>
    <w:rsid w:val="007E74EE"/>
    <w:rsid w:val="007E7D06"/>
    <w:rsid w:val="007F013A"/>
    <w:rsid w:val="007F0B07"/>
    <w:rsid w:val="007F0D98"/>
    <w:rsid w:val="007F144C"/>
    <w:rsid w:val="007F1CE6"/>
    <w:rsid w:val="007F26A9"/>
    <w:rsid w:val="007F2E0A"/>
    <w:rsid w:val="007F4762"/>
    <w:rsid w:val="007F7C1B"/>
    <w:rsid w:val="007F7C6E"/>
    <w:rsid w:val="007F7CEF"/>
    <w:rsid w:val="008006C8"/>
    <w:rsid w:val="00800C2E"/>
    <w:rsid w:val="00801A31"/>
    <w:rsid w:val="00802564"/>
    <w:rsid w:val="00802DDE"/>
    <w:rsid w:val="008032DD"/>
    <w:rsid w:val="0080435B"/>
    <w:rsid w:val="0080470B"/>
    <w:rsid w:val="008052B0"/>
    <w:rsid w:val="00805D85"/>
    <w:rsid w:val="008062C5"/>
    <w:rsid w:val="00806546"/>
    <w:rsid w:val="008066C1"/>
    <w:rsid w:val="00807513"/>
    <w:rsid w:val="008102E4"/>
    <w:rsid w:val="00810DB9"/>
    <w:rsid w:val="008138BD"/>
    <w:rsid w:val="00813FDE"/>
    <w:rsid w:val="008147E7"/>
    <w:rsid w:val="00814A8E"/>
    <w:rsid w:val="00815E6F"/>
    <w:rsid w:val="00817315"/>
    <w:rsid w:val="00820D8E"/>
    <w:rsid w:val="0082146C"/>
    <w:rsid w:val="008217FB"/>
    <w:rsid w:val="00821E01"/>
    <w:rsid w:val="008225C9"/>
    <w:rsid w:val="00822631"/>
    <w:rsid w:val="008234B0"/>
    <w:rsid w:val="00824CBF"/>
    <w:rsid w:val="00826653"/>
    <w:rsid w:val="00827066"/>
    <w:rsid w:val="00827DE9"/>
    <w:rsid w:val="008302A1"/>
    <w:rsid w:val="008351EE"/>
    <w:rsid w:val="00836007"/>
    <w:rsid w:val="00841729"/>
    <w:rsid w:val="00841F70"/>
    <w:rsid w:val="00842322"/>
    <w:rsid w:val="008425D0"/>
    <w:rsid w:val="0084334C"/>
    <w:rsid w:val="00843642"/>
    <w:rsid w:val="00843E58"/>
    <w:rsid w:val="0084478E"/>
    <w:rsid w:val="00844A61"/>
    <w:rsid w:val="008454AB"/>
    <w:rsid w:val="00850C1C"/>
    <w:rsid w:val="00851368"/>
    <w:rsid w:val="00851AD2"/>
    <w:rsid w:val="00852858"/>
    <w:rsid w:val="00852869"/>
    <w:rsid w:val="0085463E"/>
    <w:rsid w:val="00854867"/>
    <w:rsid w:val="00856274"/>
    <w:rsid w:val="00856558"/>
    <w:rsid w:val="00856DB6"/>
    <w:rsid w:val="008572F7"/>
    <w:rsid w:val="008573DE"/>
    <w:rsid w:val="00857F56"/>
    <w:rsid w:val="0086024D"/>
    <w:rsid w:val="00860487"/>
    <w:rsid w:val="008606E9"/>
    <w:rsid w:val="008613B8"/>
    <w:rsid w:val="0086339E"/>
    <w:rsid w:val="008633EA"/>
    <w:rsid w:val="00864921"/>
    <w:rsid w:val="0086664F"/>
    <w:rsid w:val="00866BFC"/>
    <w:rsid w:val="0086736A"/>
    <w:rsid w:val="008674B6"/>
    <w:rsid w:val="008676F3"/>
    <w:rsid w:val="00871F8E"/>
    <w:rsid w:val="00872276"/>
    <w:rsid w:val="00872E44"/>
    <w:rsid w:val="008732F2"/>
    <w:rsid w:val="00873F89"/>
    <w:rsid w:val="00874D82"/>
    <w:rsid w:val="00876268"/>
    <w:rsid w:val="008767E4"/>
    <w:rsid w:val="0087683D"/>
    <w:rsid w:val="00877121"/>
    <w:rsid w:val="00881271"/>
    <w:rsid w:val="00881B97"/>
    <w:rsid w:val="00882C99"/>
    <w:rsid w:val="00884B35"/>
    <w:rsid w:val="00884B7B"/>
    <w:rsid w:val="00886942"/>
    <w:rsid w:val="008871BE"/>
    <w:rsid w:val="00887488"/>
    <w:rsid w:val="00887F56"/>
    <w:rsid w:val="008909A1"/>
    <w:rsid w:val="00890DB2"/>
    <w:rsid w:val="008916F1"/>
    <w:rsid w:val="0089240C"/>
    <w:rsid w:val="00892B7E"/>
    <w:rsid w:val="00893D42"/>
    <w:rsid w:val="00895AF0"/>
    <w:rsid w:val="00895C97"/>
    <w:rsid w:val="0089639D"/>
    <w:rsid w:val="00896D79"/>
    <w:rsid w:val="00897694"/>
    <w:rsid w:val="00897D59"/>
    <w:rsid w:val="008A005F"/>
    <w:rsid w:val="008A159B"/>
    <w:rsid w:val="008A1B54"/>
    <w:rsid w:val="008A2C32"/>
    <w:rsid w:val="008A2ECD"/>
    <w:rsid w:val="008A401F"/>
    <w:rsid w:val="008A413D"/>
    <w:rsid w:val="008A57CA"/>
    <w:rsid w:val="008A5CC4"/>
    <w:rsid w:val="008A689A"/>
    <w:rsid w:val="008A6E06"/>
    <w:rsid w:val="008B1934"/>
    <w:rsid w:val="008B2D5E"/>
    <w:rsid w:val="008B37DF"/>
    <w:rsid w:val="008B564C"/>
    <w:rsid w:val="008B626D"/>
    <w:rsid w:val="008B6AC5"/>
    <w:rsid w:val="008B7F12"/>
    <w:rsid w:val="008C0CA6"/>
    <w:rsid w:val="008C0E21"/>
    <w:rsid w:val="008C18E3"/>
    <w:rsid w:val="008C1CF8"/>
    <w:rsid w:val="008C2A67"/>
    <w:rsid w:val="008C3587"/>
    <w:rsid w:val="008C45E1"/>
    <w:rsid w:val="008D102A"/>
    <w:rsid w:val="008D11E6"/>
    <w:rsid w:val="008D2D6C"/>
    <w:rsid w:val="008D30C8"/>
    <w:rsid w:val="008D3839"/>
    <w:rsid w:val="008D4015"/>
    <w:rsid w:val="008D4571"/>
    <w:rsid w:val="008D4DCD"/>
    <w:rsid w:val="008D4E10"/>
    <w:rsid w:val="008D5677"/>
    <w:rsid w:val="008D6489"/>
    <w:rsid w:val="008D7010"/>
    <w:rsid w:val="008D7F12"/>
    <w:rsid w:val="008E0238"/>
    <w:rsid w:val="008E1598"/>
    <w:rsid w:val="008E3695"/>
    <w:rsid w:val="008E4093"/>
    <w:rsid w:val="008E4468"/>
    <w:rsid w:val="008E4DEC"/>
    <w:rsid w:val="008E4F2B"/>
    <w:rsid w:val="008E55AE"/>
    <w:rsid w:val="008E67CE"/>
    <w:rsid w:val="008E688F"/>
    <w:rsid w:val="008E6929"/>
    <w:rsid w:val="008E69BF"/>
    <w:rsid w:val="008E7DE7"/>
    <w:rsid w:val="008F1EF5"/>
    <w:rsid w:val="008F353D"/>
    <w:rsid w:val="008F356B"/>
    <w:rsid w:val="008F38C7"/>
    <w:rsid w:val="008F3C4D"/>
    <w:rsid w:val="008F4F45"/>
    <w:rsid w:val="008F50F8"/>
    <w:rsid w:val="008F760B"/>
    <w:rsid w:val="00900C1A"/>
    <w:rsid w:val="00901D10"/>
    <w:rsid w:val="009032EB"/>
    <w:rsid w:val="009052FB"/>
    <w:rsid w:val="00905804"/>
    <w:rsid w:val="009070F0"/>
    <w:rsid w:val="00910F15"/>
    <w:rsid w:val="0091372C"/>
    <w:rsid w:val="0091565C"/>
    <w:rsid w:val="00915A66"/>
    <w:rsid w:val="00915D04"/>
    <w:rsid w:val="00915EEF"/>
    <w:rsid w:val="009170F7"/>
    <w:rsid w:val="00917698"/>
    <w:rsid w:val="00920686"/>
    <w:rsid w:val="00921681"/>
    <w:rsid w:val="00921962"/>
    <w:rsid w:val="00922425"/>
    <w:rsid w:val="00922A05"/>
    <w:rsid w:val="00924BC5"/>
    <w:rsid w:val="009258B7"/>
    <w:rsid w:val="00926242"/>
    <w:rsid w:val="009273EC"/>
    <w:rsid w:val="0093064E"/>
    <w:rsid w:val="00930E54"/>
    <w:rsid w:val="00931305"/>
    <w:rsid w:val="00931A6A"/>
    <w:rsid w:val="009320FA"/>
    <w:rsid w:val="00934B2D"/>
    <w:rsid w:val="00934C9F"/>
    <w:rsid w:val="009367E2"/>
    <w:rsid w:val="0093722E"/>
    <w:rsid w:val="00937F69"/>
    <w:rsid w:val="0094223C"/>
    <w:rsid w:val="00942BCF"/>
    <w:rsid w:val="00942F2E"/>
    <w:rsid w:val="00943C03"/>
    <w:rsid w:val="00944F98"/>
    <w:rsid w:val="0094545E"/>
    <w:rsid w:val="00945544"/>
    <w:rsid w:val="00945A9B"/>
    <w:rsid w:val="00945C87"/>
    <w:rsid w:val="00945E88"/>
    <w:rsid w:val="00947BFA"/>
    <w:rsid w:val="009507EE"/>
    <w:rsid w:val="009509E9"/>
    <w:rsid w:val="00950C03"/>
    <w:rsid w:val="00951EEA"/>
    <w:rsid w:val="00951F22"/>
    <w:rsid w:val="009523EE"/>
    <w:rsid w:val="009525E5"/>
    <w:rsid w:val="00952A72"/>
    <w:rsid w:val="00955FBB"/>
    <w:rsid w:val="00956692"/>
    <w:rsid w:val="00957DF4"/>
    <w:rsid w:val="00960C1E"/>
    <w:rsid w:val="00960E2D"/>
    <w:rsid w:val="009612E4"/>
    <w:rsid w:val="009623C7"/>
    <w:rsid w:val="00962BCB"/>
    <w:rsid w:val="00962CDA"/>
    <w:rsid w:val="00964535"/>
    <w:rsid w:val="00966717"/>
    <w:rsid w:val="00967137"/>
    <w:rsid w:val="009672A3"/>
    <w:rsid w:val="009704E5"/>
    <w:rsid w:val="009707C5"/>
    <w:rsid w:val="00970C27"/>
    <w:rsid w:val="00970E29"/>
    <w:rsid w:val="009735E6"/>
    <w:rsid w:val="00973B58"/>
    <w:rsid w:val="00973DB7"/>
    <w:rsid w:val="009745FE"/>
    <w:rsid w:val="0097493B"/>
    <w:rsid w:val="00975912"/>
    <w:rsid w:val="00975B3E"/>
    <w:rsid w:val="00975EE0"/>
    <w:rsid w:val="00976110"/>
    <w:rsid w:val="00977A94"/>
    <w:rsid w:val="00981395"/>
    <w:rsid w:val="009813A9"/>
    <w:rsid w:val="009815CD"/>
    <w:rsid w:val="00981EAD"/>
    <w:rsid w:val="00981EBA"/>
    <w:rsid w:val="0098301A"/>
    <w:rsid w:val="009846BF"/>
    <w:rsid w:val="00985915"/>
    <w:rsid w:val="00985CCD"/>
    <w:rsid w:val="0098781B"/>
    <w:rsid w:val="0099006D"/>
    <w:rsid w:val="009900BA"/>
    <w:rsid w:val="00990611"/>
    <w:rsid w:val="00991C8A"/>
    <w:rsid w:val="009944D4"/>
    <w:rsid w:val="00994DDF"/>
    <w:rsid w:val="00994EB9"/>
    <w:rsid w:val="00995920"/>
    <w:rsid w:val="0099617A"/>
    <w:rsid w:val="00996B5E"/>
    <w:rsid w:val="009A2576"/>
    <w:rsid w:val="009A2FD9"/>
    <w:rsid w:val="009A2FDD"/>
    <w:rsid w:val="009A38B6"/>
    <w:rsid w:val="009A59F3"/>
    <w:rsid w:val="009A63B9"/>
    <w:rsid w:val="009A68A0"/>
    <w:rsid w:val="009B110A"/>
    <w:rsid w:val="009B202B"/>
    <w:rsid w:val="009B3B58"/>
    <w:rsid w:val="009B3C01"/>
    <w:rsid w:val="009B42BB"/>
    <w:rsid w:val="009B4A40"/>
    <w:rsid w:val="009B5E8F"/>
    <w:rsid w:val="009B6AE4"/>
    <w:rsid w:val="009B6C74"/>
    <w:rsid w:val="009B73F1"/>
    <w:rsid w:val="009C2327"/>
    <w:rsid w:val="009C3D7E"/>
    <w:rsid w:val="009C4D05"/>
    <w:rsid w:val="009C4D5A"/>
    <w:rsid w:val="009C5181"/>
    <w:rsid w:val="009C6626"/>
    <w:rsid w:val="009C69A2"/>
    <w:rsid w:val="009C72D3"/>
    <w:rsid w:val="009C7430"/>
    <w:rsid w:val="009D05DF"/>
    <w:rsid w:val="009D0A9F"/>
    <w:rsid w:val="009D1AE9"/>
    <w:rsid w:val="009D2206"/>
    <w:rsid w:val="009D325B"/>
    <w:rsid w:val="009D326F"/>
    <w:rsid w:val="009D36DA"/>
    <w:rsid w:val="009D3BAC"/>
    <w:rsid w:val="009D4FE9"/>
    <w:rsid w:val="009D594F"/>
    <w:rsid w:val="009D624F"/>
    <w:rsid w:val="009D694A"/>
    <w:rsid w:val="009E0C7F"/>
    <w:rsid w:val="009E1997"/>
    <w:rsid w:val="009E1B2C"/>
    <w:rsid w:val="009E4092"/>
    <w:rsid w:val="009E56F5"/>
    <w:rsid w:val="009E65DD"/>
    <w:rsid w:val="009E7923"/>
    <w:rsid w:val="009F00B3"/>
    <w:rsid w:val="009F0A9A"/>
    <w:rsid w:val="009F1D78"/>
    <w:rsid w:val="009F1F13"/>
    <w:rsid w:val="009F2596"/>
    <w:rsid w:val="009F2DBE"/>
    <w:rsid w:val="009F360C"/>
    <w:rsid w:val="009F3CD6"/>
    <w:rsid w:val="009F3D34"/>
    <w:rsid w:val="009F5289"/>
    <w:rsid w:val="009F5514"/>
    <w:rsid w:val="009F665C"/>
    <w:rsid w:val="009F6798"/>
    <w:rsid w:val="009F7520"/>
    <w:rsid w:val="009F7ECF"/>
    <w:rsid w:val="00A0023F"/>
    <w:rsid w:val="00A00F22"/>
    <w:rsid w:val="00A015E5"/>
    <w:rsid w:val="00A01D56"/>
    <w:rsid w:val="00A040C3"/>
    <w:rsid w:val="00A06651"/>
    <w:rsid w:val="00A075B3"/>
    <w:rsid w:val="00A07979"/>
    <w:rsid w:val="00A11AAE"/>
    <w:rsid w:val="00A11F5B"/>
    <w:rsid w:val="00A12814"/>
    <w:rsid w:val="00A12E1E"/>
    <w:rsid w:val="00A12FDA"/>
    <w:rsid w:val="00A13688"/>
    <w:rsid w:val="00A1423C"/>
    <w:rsid w:val="00A14908"/>
    <w:rsid w:val="00A14B51"/>
    <w:rsid w:val="00A15D42"/>
    <w:rsid w:val="00A16052"/>
    <w:rsid w:val="00A178E5"/>
    <w:rsid w:val="00A2102A"/>
    <w:rsid w:val="00A21160"/>
    <w:rsid w:val="00A2139B"/>
    <w:rsid w:val="00A216AA"/>
    <w:rsid w:val="00A2183E"/>
    <w:rsid w:val="00A2308A"/>
    <w:rsid w:val="00A236E1"/>
    <w:rsid w:val="00A253DC"/>
    <w:rsid w:val="00A25BCB"/>
    <w:rsid w:val="00A264B4"/>
    <w:rsid w:val="00A265CE"/>
    <w:rsid w:val="00A30A91"/>
    <w:rsid w:val="00A327FE"/>
    <w:rsid w:val="00A3295F"/>
    <w:rsid w:val="00A33D1E"/>
    <w:rsid w:val="00A34C6F"/>
    <w:rsid w:val="00A34D46"/>
    <w:rsid w:val="00A35654"/>
    <w:rsid w:val="00A36191"/>
    <w:rsid w:val="00A369A6"/>
    <w:rsid w:val="00A373F4"/>
    <w:rsid w:val="00A37A3A"/>
    <w:rsid w:val="00A40368"/>
    <w:rsid w:val="00A40B7C"/>
    <w:rsid w:val="00A41D10"/>
    <w:rsid w:val="00A42A24"/>
    <w:rsid w:val="00A42C4C"/>
    <w:rsid w:val="00A43EB7"/>
    <w:rsid w:val="00A44FDC"/>
    <w:rsid w:val="00A44FE2"/>
    <w:rsid w:val="00A45FEF"/>
    <w:rsid w:val="00A464AC"/>
    <w:rsid w:val="00A472D6"/>
    <w:rsid w:val="00A5008B"/>
    <w:rsid w:val="00A5112F"/>
    <w:rsid w:val="00A5173B"/>
    <w:rsid w:val="00A51BCA"/>
    <w:rsid w:val="00A52A81"/>
    <w:rsid w:val="00A53367"/>
    <w:rsid w:val="00A553D4"/>
    <w:rsid w:val="00A55912"/>
    <w:rsid w:val="00A56195"/>
    <w:rsid w:val="00A56364"/>
    <w:rsid w:val="00A60422"/>
    <w:rsid w:val="00A618EF"/>
    <w:rsid w:val="00A6319D"/>
    <w:rsid w:val="00A64045"/>
    <w:rsid w:val="00A640E4"/>
    <w:rsid w:val="00A64DFC"/>
    <w:rsid w:val="00A6622C"/>
    <w:rsid w:val="00A73056"/>
    <w:rsid w:val="00A7382F"/>
    <w:rsid w:val="00A7392A"/>
    <w:rsid w:val="00A73B8C"/>
    <w:rsid w:val="00A75277"/>
    <w:rsid w:val="00A752FE"/>
    <w:rsid w:val="00A80DE3"/>
    <w:rsid w:val="00A810AB"/>
    <w:rsid w:val="00A82FE0"/>
    <w:rsid w:val="00A837B1"/>
    <w:rsid w:val="00A8431B"/>
    <w:rsid w:val="00A8482E"/>
    <w:rsid w:val="00A84C96"/>
    <w:rsid w:val="00A84F27"/>
    <w:rsid w:val="00A86D92"/>
    <w:rsid w:val="00A86DD1"/>
    <w:rsid w:val="00A86DF5"/>
    <w:rsid w:val="00A871D5"/>
    <w:rsid w:val="00A87560"/>
    <w:rsid w:val="00A9061C"/>
    <w:rsid w:val="00A90D09"/>
    <w:rsid w:val="00A91ABA"/>
    <w:rsid w:val="00A91BE5"/>
    <w:rsid w:val="00A922F4"/>
    <w:rsid w:val="00A94A83"/>
    <w:rsid w:val="00A9535D"/>
    <w:rsid w:val="00A9693A"/>
    <w:rsid w:val="00A97002"/>
    <w:rsid w:val="00A97172"/>
    <w:rsid w:val="00A97650"/>
    <w:rsid w:val="00A97A29"/>
    <w:rsid w:val="00A97EE2"/>
    <w:rsid w:val="00AA0A98"/>
    <w:rsid w:val="00AA2025"/>
    <w:rsid w:val="00AA2334"/>
    <w:rsid w:val="00AA2506"/>
    <w:rsid w:val="00AA2771"/>
    <w:rsid w:val="00AA27DA"/>
    <w:rsid w:val="00AA3582"/>
    <w:rsid w:val="00AA4962"/>
    <w:rsid w:val="00AA5336"/>
    <w:rsid w:val="00AA581F"/>
    <w:rsid w:val="00AA598D"/>
    <w:rsid w:val="00AA5AE7"/>
    <w:rsid w:val="00AA7092"/>
    <w:rsid w:val="00AA78DC"/>
    <w:rsid w:val="00AB041C"/>
    <w:rsid w:val="00AB1270"/>
    <w:rsid w:val="00AB199C"/>
    <w:rsid w:val="00AB32C3"/>
    <w:rsid w:val="00AB5247"/>
    <w:rsid w:val="00AB664E"/>
    <w:rsid w:val="00AB7948"/>
    <w:rsid w:val="00AB7B2E"/>
    <w:rsid w:val="00AB7E17"/>
    <w:rsid w:val="00AC039F"/>
    <w:rsid w:val="00AC24E2"/>
    <w:rsid w:val="00AC5877"/>
    <w:rsid w:val="00AC679B"/>
    <w:rsid w:val="00AC679F"/>
    <w:rsid w:val="00AD287A"/>
    <w:rsid w:val="00AD2F0A"/>
    <w:rsid w:val="00AD4328"/>
    <w:rsid w:val="00AD6239"/>
    <w:rsid w:val="00AD6388"/>
    <w:rsid w:val="00AD75A9"/>
    <w:rsid w:val="00AD777E"/>
    <w:rsid w:val="00AD7D57"/>
    <w:rsid w:val="00AD7E03"/>
    <w:rsid w:val="00AD7F25"/>
    <w:rsid w:val="00AE08EF"/>
    <w:rsid w:val="00AE1F0C"/>
    <w:rsid w:val="00AE224C"/>
    <w:rsid w:val="00AE2C0E"/>
    <w:rsid w:val="00AE3214"/>
    <w:rsid w:val="00AE3650"/>
    <w:rsid w:val="00AE4853"/>
    <w:rsid w:val="00AE4C9E"/>
    <w:rsid w:val="00AE5B27"/>
    <w:rsid w:val="00AE6801"/>
    <w:rsid w:val="00AE6E53"/>
    <w:rsid w:val="00AF0EAF"/>
    <w:rsid w:val="00AF1352"/>
    <w:rsid w:val="00AF1CA3"/>
    <w:rsid w:val="00AF1CEF"/>
    <w:rsid w:val="00AF3AB0"/>
    <w:rsid w:val="00AF5886"/>
    <w:rsid w:val="00AF6B65"/>
    <w:rsid w:val="00AF738F"/>
    <w:rsid w:val="00B01222"/>
    <w:rsid w:val="00B014DF"/>
    <w:rsid w:val="00B0187F"/>
    <w:rsid w:val="00B0357F"/>
    <w:rsid w:val="00B0412D"/>
    <w:rsid w:val="00B041F4"/>
    <w:rsid w:val="00B04BD3"/>
    <w:rsid w:val="00B070CE"/>
    <w:rsid w:val="00B11EC1"/>
    <w:rsid w:val="00B1267E"/>
    <w:rsid w:val="00B12832"/>
    <w:rsid w:val="00B128B5"/>
    <w:rsid w:val="00B1307E"/>
    <w:rsid w:val="00B14EA7"/>
    <w:rsid w:val="00B16275"/>
    <w:rsid w:val="00B20458"/>
    <w:rsid w:val="00B21369"/>
    <w:rsid w:val="00B22721"/>
    <w:rsid w:val="00B2409C"/>
    <w:rsid w:val="00B24184"/>
    <w:rsid w:val="00B243E3"/>
    <w:rsid w:val="00B24C9B"/>
    <w:rsid w:val="00B254C6"/>
    <w:rsid w:val="00B25B82"/>
    <w:rsid w:val="00B25BE8"/>
    <w:rsid w:val="00B26F08"/>
    <w:rsid w:val="00B2770F"/>
    <w:rsid w:val="00B30165"/>
    <w:rsid w:val="00B326D6"/>
    <w:rsid w:val="00B33732"/>
    <w:rsid w:val="00B33834"/>
    <w:rsid w:val="00B33D58"/>
    <w:rsid w:val="00B35DF5"/>
    <w:rsid w:val="00B36132"/>
    <w:rsid w:val="00B366A0"/>
    <w:rsid w:val="00B40C82"/>
    <w:rsid w:val="00B42F80"/>
    <w:rsid w:val="00B44F9B"/>
    <w:rsid w:val="00B458D2"/>
    <w:rsid w:val="00B477AA"/>
    <w:rsid w:val="00B539A8"/>
    <w:rsid w:val="00B53D88"/>
    <w:rsid w:val="00B57E44"/>
    <w:rsid w:val="00B62912"/>
    <w:rsid w:val="00B65B37"/>
    <w:rsid w:val="00B72325"/>
    <w:rsid w:val="00B72880"/>
    <w:rsid w:val="00B73637"/>
    <w:rsid w:val="00B73A57"/>
    <w:rsid w:val="00B7551D"/>
    <w:rsid w:val="00B76C4A"/>
    <w:rsid w:val="00B77597"/>
    <w:rsid w:val="00B775A7"/>
    <w:rsid w:val="00B803A2"/>
    <w:rsid w:val="00B8071D"/>
    <w:rsid w:val="00B80D67"/>
    <w:rsid w:val="00B80D86"/>
    <w:rsid w:val="00B8119C"/>
    <w:rsid w:val="00B82CFE"/>
    <w:rsid w:val="00B835EA"/>
    <w:rsid w:val="00B839C8"/>
    <w:rsid w:val="00B85C56"/>
    <w:rsid w:val="00B86009"/>
    <w:rsid w:val="00B86737"/>
    <w:rsid w:val="00B879EA"/>
    <w:rsid w:val="00B87DD9"/>
    <w:rsid w:val="00B9164D"/>
    <w:rsid w:val="00B92720"/>
    <w:rsid w:val="00B92AD3"/>
    <w:rsid w:val="00B92EC1"/>
    <w:rsid w:val="00B94097"/>
    <w:rsid w:val="00B94D84"/>
    <w:rsid w:val="00B953AF"/>
    <w:rsid w:val="00B959A4"/>
    <w:rsid w:val="00B961E8"/>
    <w:rsid w:val="00B96275"/>
    <w:rsid w:val="00B976BD"/>
    <w:rsid w:val="00B97B96"/>
    <w:rsid w:val="00B97C39"/>
    <w:rsid w:val="00BA0926"/>
    <w:rsid w:val="00BA09AD"/>
    <w:rsid w:val="00BA19EA"/>
    <w:rsid w:val="00BA1C2B"/>
    <w:rsid w:val="00BA2F73"/>
    <w:rsid w:val="00BA329C"/>
    <w:rsid w:val="00BA38CD"/>
    <w:rsid w:val="00BA3E6D"/>
    <w:rsid w:val="00BA48F6"/>
    <w:rsid w:val="00BA7C08"/>
    <w:rsid w:val="00BA7FA9"/>
    <w:rsid w:val="00BB151C"/>
    <w:rsid w:val="00BB1A88"/>
    <w:rsid w:val="00BB1B23"/>
    <w:rsid w:val="00BB1F27"/>
    <w:rsid w:val="00BB30AB"/>
    <w:rsid w:val="00BB486E"/>
    <w:rsid w:val="00BB5FED"/>
    <w:rsid w:val="00BB62A9"/>
    <w:rsid w:val="00BB7414"/>
    <w:rsid w:val="00BB7CA0"/>
    <w:rsid w:val="00BC14C9"/>
    <w:rsid w:val="00BC29D4"/>
    <w:rsid w:val="00BC3EDC"/>
    <w:rsid w:val="00BC5D8D"/>
    <w:rsid w:val="00BC6403"/>
    <w:rsid w:val="00BC7AF1"/>
    <w:rsid w:val="00BD030B"/>
    <w:rsid w:val="00BD0D03"/>
    <w:rsid w:val="00BD0D78"/>
    <w:rsid w:val="00BD0F4E"/>
    <w:rsid w:val="00BD2329"/>
    <w:rsid w:val="00BD2469"/>
    <w:rsid w:val="00BD289A"/>
    <w:rsid w:val="00BD3276"/>
    <w:rsid w:val="00BD3554"/>
    <w:rsid w:val="00BD3719"/>
    <w:rsid w:val="00BD3C18"/>
    <w:rsid w:val="00BD430D"/>
    <w:rsid w:val="00BD43DF"/>
    <w:rsid w:val="00BD4FFF"/>
    <w:rsid w:val="00BD6424"/>
    <w:rsid w:val="00BD7B4D"/>
    <w:rsid w:val="00BD7EC8"/>
    <w:rsid w:val="00BE11A5"/>
    <w:rsid w:val="00BE1DCB"/>
    <w:rsid w:val="00BE2163"/>
    <w:rsid w:val="00BE2DC5"/>
    <w:rsid w:val="00BE2DEC"/>
    <w:rsid w:val="00BE42B5"/>
    <w:rsid w:val="00BE4709"/>
    <w:rsid w:val="00BE615D"/>
    <w:rsid w:val="00BE6CE3"/>
    <w:rsid w:val="00BF06D9"/>
    <w:rsid w:val="00BF0A87"/>
    <w:rsid w:val="00BF1407"/>
    <w:rsid w:val="00BF1E89"/>
    <w:rsid w:val="00BF25A0"/>
    <w:rsid w:val="00BF2649"/>
    <w:rsid w:val="00BF2D1A"/>
    <w:rsid w:val="00BF7A8C"/>
    <w:rsid w:val="00C00806"/>
    <w:rsid w:val="00C0297C"/>
    <w:rsid w:val="00C029B2"/>
    <w:rsid w:val="00C03BB9"/>
    <w:rsid w:val="00C04487"/>
    <w:rsid w:val="00C04F43"/>
    <w:rsid w:val="00C05B04"/>
    <w:rsid w:val="00C10594"/>
    <w:rsid w:val="00C11FA2"/>
    <w:rsid w:val="00C12AAF"/>
    <w:rsid w:val="00C13610"/>
    <w:rsid w:val="00C13BA1"/>
    <w:rsid w:val="00C14B7E"/>
    <w:rsid w:val="00C14C1B"/>
    <w:rsid w:val="00C15387"/>
    <w:rsid w:val="00C16DF1"/>
    <w:rsid w:val="00C17326"/>
    <w:rsid w:val="00C21726"/>
    <w:rsid w:val="00C22435"/>
    <w:rsid w:val="00C22E4F"/>
    <w:rsid w:val="00C2490C"/>
    <w:rsid w:val="00C24966"/>
    <w:rsid w:val="00C24D0D"/>
    <w:rsid w:val="00C26BD8"/>
    <w:rsid w:val="00C26E07"/>
    <w:rsid w:val="00C30691"/>
    <w:rsid w:val="00C3083F"/>
    <w:rsid w:val="00C30CAB"/>
    <w:rsid w:val="00C30E00"/>
    <w:rsid w:val="00C31F6E"/>
    <w:rsid w:val="00C340E1"/>
    <w:rsid w:val="00C35260"/>
    <w:rsid w:val="00C353A8"/>
    <w:rsid w:val="00C355D8"/>
    <w:rsid w:val="00C36613"/>
    <w:rsid w:val="00C3755F"/>
    <w:rsid w:val="00C401DB"/>
    <w:rsid w:val="00C426A5"/>
    <w:rsid w:val="00C42AC6"/>
    <w:rsid w:val="00C42CC5"/>
    <w:rsid w:val="00C44187"/>
    <w:rsid w:val="00C453CA"/>
    <w:rsid w:val="00C465C3"/>
    <w:rsid w:val="00C477DD"/>
    <w:rsid w:val="00C50251"/>
    <w:rsid w:val="00C52410"/>
    <w:rsid w:val="00C536F1"/>
    <w:rsid w:val="00C5491E"/>
    <w:rsid w:val="00C55BB0"/>
    <w:rsid w:val="00C5665B"/>
    <w:rsid w:val="00C61D7F"/>
    <w:rsid w:val="00C70DEC"/>
    <w:rsid w:val="00C7541B"/>
    <w:rsid w:val="00C777B8"/>
    <w:rsid w:val="00C82706"/>
    <w:rsid w:val="00C82A59"/>
    <w:rsid w:val="00C83B74"/>
    <w:rsid w:val="00C843F9"/>
    <w:rsid w:val="00C859C4"/>
    <w:rsid w:val="00C87016"/>
    <w:rsid w:val="00C87017"/>
    <w:rsid w:val="00C8752A"/>
    <w:rsid w:val="00C87C09"/>
    <w:rsid w:val="00C90EC0"/>
    <w:rsid w:val="00C915DF"/>
    <w:rsid w:val="00C92F15"/>
    <w:rsid w:val="00C93119"/>
    <w:rsid w:val="00C944BA"/>
    <w:rsid w:val="00C95248"/>
    <w:rsid w:val="00C95CB5"/>
    <w:rsid w:val="00C95E4E"/>
    <w:rsid w:val="00C95EDC"/>
    <w:rsid w:val="00C96077"/>
    <w:rsid w:val="00C96108"/>
    <w:rsid w:val="00C963DF"/>
    <w:rsid w:val="00C96AF8"/>
    <w:rsid w:val="00C97029"/>
    <w:rsid w:val="00C9717D"/>
    <w:rsid w:val="00C97429"/>
    <w:rsid w:val="00CA0A36"/>
    <w:rsid w:val="00CA0B80"/>
    <w:rsid w:val="00CA13B1"/>
    <w:rsid w:val="00CA2E69"/>
    <w:rsid w:val="00CA302F"/>
    <w:rsid w:val="00CA3B94"/>
    <w:rsid w:val="00CA6A76"/>
    <w:rsid w:val="00CB0D81"/>
    <w:rsid w:val="00CB2C07"/>
    <w:rsid w:val="00CB399B"/>
    <w:rsid w:val="00CB78CF"/>
    <w:rsid w:val="00CC1A1D"/>
    <w:rsid w:val="00CC283E"/>
    <w:rsid w:val="00CC2DD1"/>
    <w:rsid w:val="00CC310B"/>
    <w:rsid w:val="00CC44E1"/>
    <w:rsid w:val="00CC46F9"/>
    <w:rsid w:val="00CC52F1"/>
    <w:rsid w:val="00CC59CB"/>
    <w:rsid w:val="00CC7632"/>
    <w:rsid w:val="00CD1DF0"/>
    <w:rsid w:val="00CD24C7"/>
    <w:rsid w:val="00CD2FE3"/>
    <w:rsid w:val="00CD4B5B"/>
    <w:rsid w:val="00CD63BE"/>
    <w:rsid w:val="00CD68B7"/>
    <w:rsid w:val="00CD7B3C"/>
    <w:rsid w:val="00CD7C00"/>
    <w:rsid w:val="00CD7D80"/>
    <w:rsid w:val="00CD7E5D"/>
    <w:rsid w:val="00CE0E1C"/>
    <w:rsid w:val="00CE1B42"/>
    <w:rsid w:val="00CE1ED9"/>
    <w:rsid w:val="00CE2693"/>
    <w:rsid w:val="00CE41C0"/>
    <w:rsid w:val="00CE5873"/>
    <w:rsid w:val="00CF13F0"/>
    <w:rsid w:val="00CF14E7"/>
    <w:rsid w:val="00CF1E5E"/>
    <w:rsid w:val="00CF2C5C"/>
    <w:rsid w:val="00CF3792"/>
    <w:rsid w:val="00CF3F9F"/>
    <w:rsid w:val="00CF57D1"/>
    <w:rsid w:val="00CF6310"/>
    <w:rsid w:val="00D0135E"/>
    <w:rsid w:val="00D01908"/>
    <w:rsid w:val="00D02360"/>
    <w:rsid w:val="00D03055"/>
    <w:rsid w:val="00D04292"/>
    <w:rsid w:val="00D0446D"/>
    <w:rsid w:val="00D044AD"/>
    <w:rsid w:val="00D04DEE"/>
    <w:rsid w:val="00D050E6"/>
    <w:rsid w:val="00D07407"/>
    <w:rsid w:val="00D07D6B"/>
    <w:rsid w:val="00D1025E"/>
    <w:rsid w:val="00D105A4"/>
    <w:rsid w:val="00D111F9"/>
    <w:rsid w:val="00D125AA"/>
    <w:rsid w:val="00D14746"/>
    <w:rsid w:val="00D151B2"/>
    <w:rsid w:val="00D157C7"/>
    <w:rsid w:val="00D15DF7"/>
    <w:rsid w:val="00D20D36"/>
    <w:rsid w:val="00D21D33"/>
    <w:rsid w:val="00D21EEE"/>
    <w:rsid w:val="00D223AB"/>
    <w:rsid w:val="00D22E25"/>
    <w:rsid w:val="00D23658"/>
    <w:rsid w:val="00D23E9D"/>
    <w:rsid w:val="00D26858"/>
    <w:rsid w:val="00D27F9E"/>
    <w:rsid w:val="00D27FF6"/>
    <w:rsid w:val="00D3131E"/>
    <w:rsid w:val="00D3279E"/>
    <w:rsid w:val="00D336A4"/>
    <w:rsid w:val="00D337A8"/>
    <w:rsid w:val="00D353B6"/>
    <w:rsid w:val="00D40052"/>
    <w:rsid w:val="00D40651"/>
    <w:rsid w:val="00D42BAD"/>
    <w:rsid w:val="00D43A32"/>
    <w:rsid w:val="00D4437B"/>
    <w:rsid w:val="00D4548E"/>
    <w:rsid w:val="00D46115"/>
    <w:rsid w:val="00D46D9A"/>
    <w:rsid w:val="00D47A86"/>
    <w:rsid w:val="00D5005F"/>
    <w:rsid w:val="00D50962"/>
    <w:rsid w:val="00D509FE"/>
    <w:rsid w:val="00D50E02"/>
    <w:rsid w:val="00D518CE"/>
    <w:rsid w:val="00D51A79"/>
    <w:rsid w:val="00D5234C"/>
    <w:rsid w:val="00D53996"/>
    <w:rsid w:val="00D53C0D"/>
    <w:rsid w:val="00D53DD9"/>
    <w:rsid w:val="00D543EB"/>
    <w:rsid w:val="00D5506A"/>
    <w:rsid w:val="00D568D5"/>
    <w:rsid w:val="00D57B2A"/>
    <w:rsid w:val="00D61344"/>
    <w:rsid w:val="00D621DB"/>
    <w:rsid w:val="00D62EAF"/>
    <w:rsid w:val="00D636DA"/>
    <w:rsid w:val="00D63869"/>
    <w:rsid w:val="00D639C6"/>
    <w:rsid w:val="00D65B4D"/>
    <w:rsid w:val="00D65EE9"/>
    <w:rsid w:val="00D65FAE"/>
    <w:rsid w:val="00D66059"/>
    <w:rsid w:val="00D66254"/>
    <w:rsid w:val="00D66A92"/>
    <w:rsid w:val="00D676A6"/>
    <w:rsid w:val="00D67E7A"/>
    <w:rsid w:val="00D704B8"/>
    <w:rsid w:val="00D70818"/>
    <w:rsid w:val="00D70EEB"/>
    <w:rsid w:val="00D71190"/>
    <w:rsid w:val="00D7136A"/>
    <w:rsid w:val="00D71CE0"/>
    <w:rsid w:val="00D721AE"/>
    <w:rsid w:val="00D7224A"/>
    <w:rsid w:val="00D72BDE"/>
    <w:rsid w:val="00D7313D"/>
    <w:rsid w:val="00D733A5"/>
    <w:rsid w:val="00D73976"/>
    <w:rsid w:val="00D74192"/>
    <w:rsid w:val="00D741FB"/>
    <w:rsid w:val="00D74F40"/>
    <w:rsid w:val="00D75577"/>
    <w:rsid w:val="00D77B82"/>
    <w:rsid w:val="00D80814"/>
    <w:rsid w:val="00D81723"/>
    <w:rsid w:val="00D81EA3"/>
    <w:rsid w:val="00D825C6"/>
    <w:rsid w:val="00D836A0"/>
    <w:rsid w:val="00D84222"/>
    <w:rsid w:val="00D85693"/>
    <w:rsid w:val="00D864D0"/>
    <w:rsid w:val="00D907AE"/>
    <w:rsid w:val="00D90CB1"/>
    <w:rsid w:val="00D9157D"/>
    <w:rsid w:val="00D92D59"/>
    <w:rsid w:val="00D930B8"/>
    <w:rsid w:val="00D94546"/>
    <w:rsid w:val="00D975BC"/>
    <w:rsid w:val="00D97DC2"/>
    <w:rsid w:val="00D97E54"/>
    <w:rsid w:val="00DA034F"/>
    <w:rsid w:val="00DA1500"/>
    <w:rsid w:val="00DA1A87"/>
    <w:rsid w:val="00DA21A2"/>
    <w:rsid w:val="00DA293A"/>
    <w:rsid w:val="00DA3582"/>
    <w:rsid w:val="00DA40E8"/>
    <w:rsid w:val="00DA44F1"/>
    <w:rsid w:val="00DA5BA2"/>
    <w:rsid w:val="00DB1161"/>
    <w:rsid w:val="00DB2061"/>
    <w:rsid w:val="00DB2AF2"/>
    <w:rsid w:val="00DB38BD"/>
    <w:rsid w:val="00DB3B2C"/>
    <w:rsid w:val="00DB3E90"/>
    <w:rsid w:val="00DB5FF2"/>
    <w:rsid w:val="00DB618B"/>
    <w:rsid w:val="00DB6A22"/>
    <w:rsid w:val="00DB6B1B"/>
    <w:rsid w:val="00DB79FD"/>
    <w:rsid w:val="00DB7C9F"/>
    <w:rsid w:val="00DC0303"/>
    <w:rsid w:val="00DC0A72"/>
    <w:rsid w:val="00DC1ACB"/>
    <w:rsid w:val="00DC213B"/>
    <w:rsid w:val="00DC6BB7"/>
    <w:rsid w:val="00DC7212"/>
    <w:rsid w:val="00DD100F"/>
    <w:rsid w:val="00DD10BA"/>
    <w:rsid w:val="00DD2A3A"/>
    <w:rsid w:val="00DD2F58"/>
    <w:rsid w:val="00DD399E"/>
    <w:rsid w:val="00DD49F6"/>
    <w:rsid w:val="00DD49F9"/>
    <w:rsid w:val="00DD579C"/>
    <w:rsid w:val="00DD57EA"/>
    <w:rsid w:val="00DE1977"/>
    <w:rsid w:val="00DE47E4"/>
    <w:rsid w:val="00DE4AD6"/>
    <w:rsid w:val="00DE4FFC"/>
    <w:rsid w:val="00DE507C"/>
    <w:rsid w:val="00DE541A"/>
    <w:rsid w:val="00DE614A"/>
    <w:rsid w:val="00DE6C1C"/>
    <w:rsid w:val="00DF0AAB"/>
    <w:rsid w:val="00DF10C5"/>
    <w:rsid w:val="00DF12D7"/>
    <w:rsid w:val="00DF138A"/>
    <w:rsid w:val="00DF2023"/>
    <w:rsid w:val="00DF2B45"/>
    <w:rsid w:val="00DF2CBB"/>
    <w:rsid w:val="00DF3B5B"/>
    <w:rsid w:val="00DF405D"/>
    <w:rsid w:val="00DF4941"/>
    <w:rsid w:val="00DF6275"/>
    <w:rsid w:val="00DF6567"/>
    <w:rsid w:val="00DF6AE7"/>
    <w:rsid w:val="00DF76EB"/>
    <w:rsid w:val="00DF7A02"/>
    <w:rsid w:val="00DF7C6D"/>
    <w:rsid w:val="00E01132"/>
    <w:rsid w:val="00E0213D"/>
    <w:rsid w:val="00E0363B"/>
    <w:rsid w:val="00E04317"/>
    <w:rsid w:val="00E04FEC"/>
    <w:rsid w:val="00E10961"/>
    <w:rsid w:val="00E10DA6"/>
    <w:rsid w:val="00E1161A"/>
    <w:rsid w:val="00E134F2"/>
    <w:rsid w:val="00E13B23"/>
    <w:rsid w:val="00E13D5D"/>
    <w:rsid w:val="00E1411A"/>
    <w:rsid w:val="00E15C74"/>
    <w:rsid w:val="00E15F22"/>
    <w:rsid w:val="00E16007"/>
    <w:rsid w:val="00E16886"/>
    <w:rsid w:val="00E16CD5"/>
    <w:rsid w:val="00E17518"/>
    <w:rsid w:val="00E200AF"/>
    <w:rsid w:val="00E20477"/>
    <w:rsid w:val="00E20811"/>
    <w:rsid w:val="00E20C21"/>
    <w:rsid w:val="00E219C8"/>
    <w:rsid w:val="00E236DD"/>
    <w:rsid w:val="00E26086"/>
    <w:rsid w:val="00E263F0"/>
    <w:rsid w:val="00E269BD"/>
    <w:rsid w:val="00E272C2"/>
    <w:rsid w:val="00E27A71"/>
    <w:rsid w:val="00E27CE8"/>
    <w:rsid w:val="00E306EA"/>
    <w:rsid w:val="00E32312"/>
    <w:rsid w:val="00E339D2"/>
    <w:rsid w:val="00E33CB9"/>
    <w:rsid w:val="00E3662B"/>
    <w:rsid w:val="00E366E7"/>
    <w:rsid w:val="00E401D2"/>
    <w:rsid w:val="00E403E7"/>
    <w:rsid w:val="00E40FA0"/>
    <w:rsid w:val="00E4156B"/>
    <w:rsid w:val="00E41F56"/>
    <w:rsid w:val="00E420F3"/>
    <w:rsid w:val="00E42E3C"/>
    <w:rsid w:val="00E43873"/>
    <w:rsid w:val="00E445F6"/>
    <w:rsid w:val="00E44A79"/>
    <w:rsid w:val="00E44FFD"/>
    <w:rsid w:val="00E457D4"/>
    <w:rsid w:val="00E47A50"/>
    <w:rsid w:val="00E47DC8"/>
    <w:rsid w:val="00E5039C"/>
    <w:rsid w:val="00E515BC"/>
    <w:rsid w:val="00E51C07"/>
    <w:rsid w:val="00E51EE4"/>
    <w:rsid w:val="00E5218D"/>
    <w:rsid w:val="00E5368B"/>
    <w:rsid w:val="00E54255"/>
    <w:rsid w:val="00E54913"/>
    <w:rsid w:val="00E54CB6"/>
    <w:rsid w:val="00E55102"/>
    <w:rsid w:val="00E55E89"/>
    <w:rsid w:val="00E5650F"/>
    <w:rsid w:val="00E56B7C"/>
    <w:rsid w:val="00E56CB4"/>
    <w:rsid w:val="00E6013A"/>
    <w:rsid w:val="00E620F4"/>
    <w:rsid w:val="00E62C9D"/>
    <w:rsid w:val="00E65228"/>
    <w:rsid w:val="00E65702"/>
    <w:rsid w:val="00E65EC3"/>
    <w:rsid w:val="00E66829"/>
    <w:rsid w:val="00E7106F"/>
    <w:rsid w:val="00E711DF"/>
    <w:rsid w:val="00E7152D"/>
    <w:rsid w:val="00E71AE3"/>
    <w:rsid w:val="00E71CA3"/>
    <w:rsid w:val="00E72BB1"/>
    <w:rsid w:val="00E72C52"/>
    <w:rsid w:val="00E72F11"/>
    <w:rsid w:val="00E73A4D"/>
    <w:rsid w:val="00E7425D"/>
    <w:rsid w:val="00E742FA"/>
    <w:rsid w:val="00E74427"/>
    <w:rsid w:val="00E75EDD"/>
    <w:rsid w:val="00E76583"/>
    <w:rsid w:val="00E76C43"/>
    <w:rsid w:val="00E76C6E"/>
    <w:rsid w:val="00E77C4C"/>
    <w:rsid w:val="00E77FDD"/>
    <w:rsid w:val="00E809B0"/>
    <w:rsid w:val="00E809BC"/>
    <w:rsid w:val="00E828D0"/>
    <w:rsid w:val="00E8290B"/>
    <w:rsid w:val="00E8388E"/>
    <w:rsid w:val="00E83C96"/>
    <w:rsid w:val="00E87735"/>
    <w:rsid w:val="00E87A10"/>
    <w:rsid w:val="00E9218C"/>
    <w:rsid w:val="00E9314E"/>
    <w:rsid w:val="00E9337B"/>
    <w:rsid w:val="00E93691"/>
    <w:rsid w:val="00E95C81"/>
    <w:rsid w:val="00E95F24"/>
    <w:rsid w:val="00E96F5F"/>
    <w:rsid w:val="00E97492"/>
    <w:rsid w:val="00E979D5"/>
    <w:rsid w:val="00E97F21"/>
    <w:rsid w:val="00EA011C"/>
    <w:rsid w:val="00EA199E"/>
    <w:rsid w:val="00EA3B6B"/>
    <w:rsid w:val="00EA3CA1"/>
    <w:rsid w:val="00EA3EBE"/>
    <w:rsid w:val="00EA47C5"/>
    <w:rsid w:val="00EA7B76"/>
    <w:rsid w:val="00EB2906"/>
    <w:rsid w:val="00EB2AA1"/>
    <w:rsid w:val="00EB309E"/>
    <w:rsid w:val="00EB407E"/>
    <w:rsid w:val="00EB416C"/>
    <w:rsid w:val="00EB5750"/>
    <w:rsid w:val="00EB5BB6"/>
    <w:rsid w:val="00EB62FE"/>
    <w:rsid w:val="00EB6342"/>
    <w:rsid w:val="00EB6AAA"/>
    <w:rsid w:val="00EC0E29"/>
    <w:rsid w:val="00EC2250"/>
    <w:rsid w:val="00EC3831"/>
    <w:rsid w:val="00EC3E8A"/>
    <w:rsid w:val="00EC4018"/>
    <w:rsid w:val="00ED0068"/>
    <w:rsid w:val="00ED1207"/>
    <w:rsid w:val="00ED16E4"/>
    <w:rsid w:val="00ED1B75"/>
    <w:rsid w:val="00ED1CFF"/>
    <w:rsid w:val="00ED430E"/>
    <w:rsid w:val="00ED5AEA"/>
    <w:rsid w:val="00ED5D2E"/>
    <w:rsid w:val="00ED689B"/>
    <w:rsid w:val="00ED6E6A"/>
    <w:rsid w:val="00ED774F"/>
    <w:rsid w:val="00EE0AA7"/>
    <w:rsid w:val="00EE2202"/>
    <w:rsid w:val="00EE268B"/>
    <w:rsid w:val="00EE36DF"/>
    <w:rsid w:val="00EE388C"/>
    <w:rsid w:val="00EE3B18"/>
    <w:rsid w:val="00EE44EE"/>
    <w:rsid w:val="00EE47B8"/>
    <w:rsid w:val="00EF2866"/>
    <w:rsid w:val="00EF327A"/>
    <w:rsid w:val="00EF3550"/>
    <w:rsid w:val="00EF3680"/>
    <w:rsid w:val="00EF3A10"/>
    <w:rsid w:val="00EF3B7E"/>
    <w:rsid w:val="00EF3DF0"/>
    <w:rsid w:val="00EF44AB"/>
    <w:rsid w:val="00EF48BD"/>
    <w:rsid w:val="00EF5B80"/>
    <w:rsid w:val="00EF5C44"/>
    <w:rsid w:val="00EF5E17"/>
    <w:rsid w:val="00EF5E58"/>
    <w:rsid w:val="00EF7421"/>
    <w:rsid w:val="00EF7523"/>
    <w:rsid w:val="00EF7804"/>
    <w:rsid w:val="00EF7C2C"/>
    <w:rsid w:val="00F0226C"/>
    <w:rsid w:val="00F0581A"/>
    <w:rsid w:val="00F06B34"/>
    <w:rsid w:val="00F076D9"/>
    <w:rsid w:val="00F07CFC"/>
    <w:rsid w:val="00F1123A"/>
    <w:rsid w:val="00F130B2"/>
    <w:rsid w:val="00F16C58"/>
    <w:rsid w:val="00F1742B"/>
    <w:rsid w:val="00F1744E"/>
    <w:rsid w:val="00F20C1F"/>
    <w:rsid w:val="00F21166"/>
    <w:rsid w:val="00F229C9"/>
    <w:rsid w:val="00F23B01"/>
    <w:rsid w:val="00F23E23"/>
    <w:rsid w:val="00F24293"/>
    <w:rsid w:val="00F24602"/>
    <w:rsid w:val="00F26307"/>
    <w:rsid w:val="00F27094"/>
    <w:rsid w:val="00F273F6"/>
    <w:rsid w:val="00F27D5A"/>
    <w:rsid w:val="00F31F75"/>
    <w:rsid w:val="00F33010"/>
    <w:rsid w:val="00F33874"/>
    <w:rsid w:val="00F344BF"/>
    <w:rsid w:val="00F34C8F"/>
    <w:rsid w:val="00F353A6"/>
    <w:rsid w:val="00F35881"/>
    <w:rsid w:val="00F35A5B"/>
    <w:rsid w:val="00F35D7F"/>
    <w:rsid w:val="00F37339"/>
    <w:rsid w:val="00F374A7"/>
    <w:rsid w:val="00F4071A"/>
    <w:rsid w:val="00F40728"/>
    <w:rsid w:val="00F43977"/>
    <w:rsid w:val="00F43C57"/>
    <w:rsid w:val="00F4466D"/>
    <w:rsid w:val="00F44A8E"/>
    <w:rsid w:val="00F45E29"/>
    <w:rsid w:val="00F45FD6"/>
    <w:rsid w:val="00F474E0"/>
    <w:rsid w:val="00F50249"/>
    <w:rsid w:val="00F5061E"/>
    <w:rsid w:val="00F5101A"/>
    <w:rsid w:val="00F5270A"/>
    <w:rsid w:val="00F52A24"/>
    <w:rsid w:val="00F52DB8"/>
    <w:rsid w:val="00F53981"/>
    <w:rsid w:val="00F53BB6"/>
    <w:rsid w:val="00F56A5C"/>
    <w:rsid w:val="00F56CDD"/>
    <w:rsid w:val="00F6017C"/>
    <w:rsid w:val="00F60DD4"/>
    <w:rsid w:val="00F60E55"/>
    <w:rsid w:val="00F61C58"/>
    <w:rsid w:val="00F63DD9"/>
    <w:rsid w:val="00F65E6F"/>
    <w:rsid w:val="00F7048F"/>
    <w:rsid w:val="00F70917"/>
    <w:rsid w:val="00F70C15"/>
    <w:rsid w:val="00F70D0E"/>
    <w:rsid w:val="00F71527"/>
    <w:rsid w:val="00F73787"/>
    <w:rsid w:val="00F739A9"/>
    <w:rsid w:val="00F73ACC"/>
    <w:rsid w:val="00F75BE5"/>
    <w:rsid w:val="00F76F4A"/>
    <w:rsid w:val="00F7762A"/>
    <w:rsid w:val="00F80D78"/>
    <w:rsid w:val="00F81483"/>
    <w:rsid w:val="00F8157C"/>
    <w:rsid w:val="00F81E5B"/>
    <w:rsid w:val="00F8367F"/>
    <w:rsid w:val="00F8506D"/>
    <w:rsid w:val="00F8556F"/>
    <w:rsid w:val="00F85FA8"/>
    <w:rsid w:val="00F8657F"/>
    <w:rsid w:val="00F86726"/>
    <w:rsid w:val="00F86815"/>
    <w:rsid w:val="00F86B59"/>
    <w:rsid w:val="00F86BA5"/>
    <w:rsid w:val="00F91278"/>
    <w:rsid w:val="00F91970"/>
    <w:rsid w:val="00F91BC8"/>
    <w:rsid w:val="00F91FE9"/>
    <w:rsid w:val="00F92EA8"/>
    <w:rsid w:val="00F93369"/>
    <w:rsid w:val="00F95C68"/>
    <w:rsid w:val="00F95E65"/>
    <w:rsid w:val="00F963CF"/>
    <w:rsid w:val="00F9756F"/>
    <w:rsid w:val="00FA035F"/>
    <w:rsid w:val="00FA225D"/>
    <w:rsid w:val="00FA39D5"/>
    <w:rsid w:val="00FA42AD"/>
    <w:rsid w:val="00FA4E67"/>
    <w:rsid w:val="00FA6989"/>
    <w:rsid w:val="00FB1D5C"/>
    <w:rsid w:val="00FB2D74"/>
    <w:rsid w:val="00FB307C"/>
    <w:rsid w:val="00FB30AF"/>
    <w:rsid w:val="00FB45D0"/>
    <w:rsid w:val="00FB5507"/>
    <w:rsid w:val="00FB5F7E"/>
    <w:rsid w:val="00FB6031"/>
    <w:rsid w:val="00FB67CF"/>
    <w:rsid w:val="00FB73D0"/>
    <w:rsid w:val="00FC077E"/>
    <w:rsid w:val="00FC1387"/>
    <w:rsid w:val="00FC1508"/>
    <w:rsid w:val="00FC1A14"/>
    <w:rsid w:val="00FC380A"/>
    <w:rsid w:val="00FC4096"/>
    <w:rsid w:val="00FC5CCF"/>
    <w:rsid w:val="00FC72E9"/>
    <w:rsid w:val="00FD018C"/>
    <w:rsid w:val="00FD17DB"/>
    <w:rsid w:val="00FD2D1F"/>
    <w:rsid w:val="00FD38CD"/>
    <w:rsid w:val="00FD3A31"/>
    <w:rsid w:val="00FD4746"/>
    <w:rsid w:val="00FD5C28"/>
    <w:rsid w:val="00FD60AE"/>
    <w:rsid w:val="00FD6DD0"/>
    <w:rsid w:val="00FD6FC1"/>
    <w:rsid w:val="00FD7857"/>
    <w:rsid w:val="00FE28A3"/>
    <w:rsid w:val="00FE3DB8"/>
    <w:rsid w:val="00FE4024"/>
    <w:rsid w:val="00FE423B"/>
    <w:rsid w:val="00FE4360"/>
    <w:rsid w:val="00FE437F"/>
    <w:rsid w:val="00FE46B3"/>
    <w:rsid w:val="00FE483A"/>
    <w:rsid w:val="00FE48FC"/>
    <w:rsid w:val="00FE565F"/>
    <w:rsid w:val="00FE5EB3"/>
    <w:rsid w:val="00FE640A"/>
    <w:rsid w:val="00FE7B9C"/>
    <w:rsid w:val="00FE7BFD"/>
    <w:rsid w:val="00FE7FF6"/>
    <w:rsid w:val="00FF0DE4"/>
    <w:rsid w:val="00FF148F"/>
    <w:rsid w:val="00FF1767"/>
    <w:rsid w:val="00FF20F3"/>
    <w:rsid w:val="00FF3FE5"/>
    <w:rsid w:val="00FF4908"/>
    <w:rsid w:val="00FF4B3D"/>
    <w:rsid w:val="00FF6799"/>
    <w:rsid w:val="00FF6D80"/>
    <w:rsid w:val="00FF751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67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9"/>
    <w:qFormat/>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locke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paragraph" w:styleId="TOC1">
    <w:name w:val="toc 1"/>
    <w:basedOn w:val="Normal"/>
    <w:next w:val="Normal"/>
    <w:autoRedefine/>
    <w:uiPriority w:val="99"/>
    <w:pPr>
      <w:spacing w:after="100"/>
    </w:pPr>
  </w:style>
  <w:style w:type="character" w:styleId="Hyperlink">
    <w:name w:val="Hyperlink"/>
    <w:basedOn w:val="DefaultParagraphFont"/>
    <w:uiPriority w:val="99"/>
    <w:rPr>
      <w:rFonts w:cs="Times New Roman"/>
      <w:color w:val="0000FF"/>
      <w:u w:val="single"/>
    </w:rPr>
  </w:style>
  <w:style w:type="table" w:styleId="TableGrid">
    <w:name w:val="Table Grid"/>
    <w:basedOn w:val="TableNormal"/>
    <w:uiPriority w:val="99"/>
    <w:locked/>
    <w:pPr>
      <w:spacing w:after="200" w:line="276" w:lineRule="auto"/>
    </w:pPr>
    <w:rPr>
      <w:rFonts w:eastAsia="Times New Roman"/>
      <w:sz w:val="20"/>
      <w:szCs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locked/>
    <w:pPr>
      <w:spacing w:after="0" w:line="240" w:lineRule="auto"/>
    </w:pPr>
    <w:rPr>
      <w:rFonts w:ascii="Times New Roman" w:hAnsi="Times New Roman"/>
      <w:b/>
      <w:bCs/>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 w:type="character" w:styleId="PageNumber">
    <w:name w:val="page number"/>
    <w:basedOn w:val="DefaultParagraphFont"/>
    <w:uiPriority w:val="99"/>
    <w:rPr>
      <w:rFonts w:cs="Times New Roman"/>
    </w:rPr>
  </w:style>
  <w:style w:type="paragraph" w:styleId="TOC2">
    <w:name w:val="toc 2"/>
    <w:basedOn w:val="Normal"/>
    <w:next w:val="Normal"/>
    <w:autoRedefine/>
    <w:uiPriority w:val="39"/>
    <w:locked/>
    <w:rsid w:val="002A5A4C"/>
    <w:pPr>
      <w:tabs>
        <w:tab w:val="right" w:leader="dot" w:pos="9350"/>
      </w:tabs>
      <w:ind w:left="220"/>
    </w:p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rPr>
  </w:style>
  <w:style w:type="paragraph" w:styleId="PlainText">
    <w:name w:val="Plain Text"/>
    <w:basedOn w:val="Normal"/>
    <w:link w:val="PlainTextChar"/>
    <w:uiPriority w:val="9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locked/>
    <w:rPr>
      <w:rFonts w:ascii="Consolas" w:hAnsi="Consolas" w:cs="Times New Roman"/>
      <w:sz w:val="21"/>
      <w:szCs w:val="21"/>
      <w:lang w:val="en-US" w:eastAsia="en-US" w:bidi="ar-SA"/>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pPr>
      <w:spacing w:after="0" w:line="240" w:lineRule="auto"/>
      <w:ind w:right="432"/>
    </w:pPr>
    <w:rPr>
      <w:sz w:val="20"/>
      <w:szCs w:val="20"/>
    </w:rPr>
  </w:style>
  <w:style w:type="character" w:customStyle="1" w:styleId="CommentTextChar">
    <w:name w:val="Comment Text Char"/>
    <w:basedOn w:val="DefaultParagraphFont"/>
    <w:link w:val="CommentText"/>
    <w:uiPriority w:val="99"/>
    <w:locked/>
    <w:rPr>
      <w:rFonts w:ascii="Calibri" w:hAnsi="Calibri" w:cs="Times New Roman"/>
      <w:lang w:val="en-US" w:eastAsia="en-US" w:bidi="ar-SA"/>
    </w:rPr>
  </w:style>
  <w:style w:type="paragraph" w:styleId="NoSpacing">
    <w:name w:val="No Spacing"/>
    <w:link w:val="NoSpacingChar"/>
    <w:uiPriority w:val="99"/>
    <w:qFormat/>
    <w:pPr>
      <w:jc w:val="both"/>
    </w:pPr>
  </w:style>
  <w:style w:type="character" w:customStyle="1" w:styleId="NoSpacingChar">
    <w:name w:val="No Spacing Char"/>
    <w:basedOn w:val="DefaultParagraphFont"/>
    <w:link w:val="NoSpacing"/>
    <w:uiPriority w:val="99"/>
    <w:locked/>
    <w:rPr>
      <w:rFonts w:cs="Times New Roman"/>
      <w:sz w:val="22"/>
      <w:szCs w:val="22"/>
      <w:lang w:val="en-US" w:eastAsia="en-US" w:bidi="ar-SA"/>
    </w:rPr>
  </w:style>
  <w:style w:type="paragraph" w:styleId="NormalWeb">
    <w:name w:val="Normal (Web)"/>
    <w:basedOn w:val="Normal"/>
    <w:uiPriority w:val="99"/>
    <w:unhideWhenUsed/>
    <w:rsid w:val="008B626D"/>
    <w:pPr>
      <w:spacing w:before="100" w:beforeAutospacing="1" w:after="100" w:afterAutospacing="1" w:line="240" w:lineRule="auto"/>
    </w:pPr>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9E1B2C"/>
    <w:pPr>
      <w:spacing w:after="200"/>
      <w:ind w:right="0"/>
    </w:pPr>
    <w:rPr>
      <w:b/>
      <w:bCs/>
    </w:rPr>
  </w:style>
  <w:style w:type="character" w:customStyle="1" w:styleId="CommentSubjectChar">
    <w:name w:val="Comment Subject Char"/>
    <w:basedOn w:val="CommentTextChar"/>
    <w:link w:val="CommentSubject"/>
    <w:uiPriority w:val="99"/>
    <w:semiHidden/>
    <w:rsid w:val="009E1B2C"/>
    <w:rPr>
      <w:rFonts w:ascii="Calibri" w:hAnsi="Calibri" w:cs="Times New Roman"/>
      <w:b/>
      <w:bCs/>
      <w:sz w:val="20"/>
      <w:szCs w:val="20"/>
      <w:lang w:val="en-US" w:eastAsia="en-US" w:bidi="ar-SA"/>
    </w:rPr>
  </w:style>
  <w:style w:type="paragraph" w:styleId="ListParagraph">
    <w:name w:val="List Paragraph"/>
    <w:basedOn w:val="Normal"/>
    <w:uiPriority w:val="99"/>
    <w:qFormat/>
    <w:rsid w:val="00713485"/>
    <w:pPr>
      <w:ind w:left="720"/>
      <w:contextualSpacing/>
    </w:pPr>
  </w:style>
  <w:style w:type="character" w:styleId="FollowedHyperlink">
    <w:name w:val="FollowedHyperlink"/>
    <w:basedOn w:val="DefaultParagraphFont"/>
    <w:uiPriority w:val="99"/>
    <w:semiHidden/>
    <w:unhideWhenUsed/>
    <w:rsid w:val="0057316C"/>
    <w:rPr>
      <w:color w:val="800080" w:themeColor="followedHyperlink"/>
      <w:u w:val="single"/>
    </w:rPr>
  </w:style>
  <w:style w:type="character" w:customStyle="1" w:styleId="xbe">
    <w:name w:val="_xbe"/>
    <w:basedOn w:val="DefaultParagraphFont"/>
    <w:rsid w:val="009E7923"/>
  </w:style>
  <w:style w:type="paragraph" w:customStyle="1" w:styleId="Default">
    <w:name w:val="Default"/>
    <w:rsid w:val="00453169"/>
    <w:pPr>
      <w:autoSpaceDE w:val="0"/>
      <w:autoSpaceDN w:val="0"/>
      <w:adjustRightInd w:val="0"/>
    </w:pPr>
    <w:rPr>
      <w:rFonts w:ascii="Cambria" w:hAnsi="Cambria" w:cs="Cambr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9"/>
    <w:qFormat/>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locke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paragraph" w:styleId="TOC1">
    <w:name w:val="toc 1"/>
    <w:basedOn w:val="Normal"/>
    <w:next w:val="Normal"/>
    <w:autoRedefine/>
    <w:uiPriority w:val="99"/>
    <w:pPr>
      <w:spacing w:after="100"/>
    </w:pPr>
  </w:style>
  <w:style w:type="character" w:styleId="Hyperlink">
    <w:name w:val="Hyperlink"/>
    <w:basedOn w:val="DefaultParagraphFont"/>
    <w:uiPriority w:val="99"/>
    <w:rPr>
      <w:rFonts w:cs="Times New Roman"/>
      <w:color w:val="0000FF"/>
      <w:u w:val="single"/>
    </w:rPr>
  </w:style>
  <w:style w:type="table" w:styleId="TableGrid">
    <w:name w:val="Table Grid"/>
    <w:basedOn w:val="TableNormal"/>
    <w:uiPriority w:val="99"/>
    <w:locked/>
    <w:pPr>
      <w:spacing w:after="200" w:line="276" w:lineRule="auto"/>
    </w:pPr>
    <w:rPr>
      <w:rFonts w:eastAsia="Times New Roman"/>
      <w:sz w:val="20"/>
      <w:szCs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locked/>
    <w:pPr>
      <w:spacing w:after="0" w:line="240" w:lineRule="auto"/>
    </w:pPr>
    <w:rPr>
      <w:rFonts w:ascii="Times New Roman" w:hAnsi="Times New Roman"/>
      <w:b/>
      <w:bCs/>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 w:type="character" w:styleId="PageNumber">
    <w:name w:val="page number"/>
    <w:basedOn w:val="DefaultParagraphFont"/>
    <w:uiPriority w:val="99"/>
    <w:rPr>
      <w:rFonts w:cs="Times New Roman"/>
    </w:rPr>
  </w:style>
  <w:style w:type="paragraph" w:styleId="TOC2">
    <w:name w:val="toc 2"/>
    <w:basedOn w:val="Normal"/>
    <w:next w:val="Normal"/>
    <w:autoRedefine/>
    <w:uiPriority w:val="39"/>
    <w:locked/>
    <w:rsid w:val="002A5A4C"/>
    <w:pPr>
      <w:tabs>
        <w:tab w:val="right" w:leader="dot" w:pos="9350"/>
      </w:tabs>
      <w:ind w:left="220"/>
    </w:p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rPr>
  </w:style>
  <w:style w:type="paragraph" w:styleId="PlainText">
    <w:name w:val="Plain Text"/>
    <w:basedOn w:val="Normal"/>
    <w:link w:val="PlainTextChar"/>
    <w:uiPriority w:val="9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locked/>
    <w:rPr>
      <w:rFonts w:ascii="Consolas" w:hAnsi="Consolas" w:cs="Times New Roman"/>
      <w:sz w:val="21"/>
      <w:szCs w:val="21"/>
      <w:lang w:val="en-US" w:eastAsia="en-US" w:bidi="ar-SA"/>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pPr>
      <w:spacing w:after="0" w:line="240" w:lineRule="auto"/>
      <w:ind w:right="432"/>
    </w:pPr>
    <w:rPr>
      <w:sz w:val="20"/>
      <w:szCs w:val="20"/>
    </w:rPr>
  </w:style>
  <w:style w:type="character" w:customStyle="1" w:styleId="CommentTextChar">
    <w:name w:val="Comment Text Char"/>
    <w:basedOn w:val="DefaultParagraphFont"/>
    <w:link w:val="CommentText"/>
    <w:uiPriority w:val="99"/>
    <w:locked/>
    <w:rPr>
      <w:rFonts w:ascii="Calibri" w:hAnsi="Calibri" w:cs="Times New Roman"/>
      <w:lang w:val="en-US" w:eastAsia="en-US" w:bidi="ar-SA"/>
    </w:rPr>
  </w:style>
  <w:style w:type="paragraph" w:styleId="NoSpacing">
    <w:name w:val="No Spacing"/>
    <w:link w:val="NoSpacingChar"/>
    <w:uiPriority w:val="99"/>
    <w:qFormat/>
    <w:pPr>
      <w:jc w:val="both"/>
    </w:pPr>
  </w:style>
  <w:style w:type="character" w:customStyle="1" w:styleId="NoSpacingChar">
    <w:name w:val="No Spacing Char"/>
    <w:basedOn w:val="DefaultParagraphFont"/>
    <w:link w:val="NoSpacing"/>
    <w:uiPriority w:val="99"/>
    <w:locked/>
    <w:rPr>
      <w:rFonts w:cs="Times New Roman"/>
      <w:sz w:val="22"/>
      <w:szCs w:val="22"/>
      <w:lang w:val="en-US" w:eastAsia="en-US" w:bidi="ar-SA"/>
    </w:rPr>
  </w:style>
  <w:style w:type="paragraph" w:styleId="NormalWeb">
    <w:name w:val="Normal (Web)"/>
    <w:basedOn w:val="Normal"/>
    <w:uiPriority w:val="99"/>
    <w:unhideWhenUsed/>
    <w:rsid w:val="008B626D"/>
    <w:pPr>
      <w:spacing w:before="100" w:beforeAutospacing="1" w:after="100" w:afterAutospacing="1" w:line="240" w:lineRule="auto"/>
    </w:pPr>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9E1B2C"/>
    <w:pPr>
      <w:spacing w:after="200"/>
      <w:ind w:right="0"/>
    </w:pPr>
    <w:rPr>
      <w:b/>
      <w:bCs/>
    </w:rPr>
  </w:style>
  <w:style w:type="character" w:customStyle="1" w:styleId="CommentSubjectChar">
    <w:name w:val="Comment Subject Char"/>
    <w:basedOn w:val="CommentTextChar"/>
    <w:link w:val="CommentSubject"/>
    <w:uiPriority w:val="99"/>
    <w:semiHidden/>
    <w:rsid w:val="009E1B2C"/>
    <w:rPr>
      <w:rFonts w:ascii="Calibri" w:hAnsi="Calibri" w:cs="Times New Roman"/>
      <w:b/>
      <w:bCs/>
      <w:sz w:val="20"/>
      <w:szCs w:val="20"/>
      <w:lang w:val="en-US" w:eastAsia="en-US" w:bidi="ar-SA"/>
    </w:rPr>
  </w:style>
  <w:style w:type="paragraph" w:styleId="ListParagraph">
    <w:name w:val="List Paragraph"/>
    <w:basedOn w:val="Normal"/>
    <w:uiPriority w:val="99"/>
    <w:qFormat/>
    <w:rsid w:val="00713485"/>
    <w:pPr>
      <w:ind w:left="720"/>
      <w:contextualSpacing/>
    </w:pPr>
  </w:style>
  <w:style w:type="character" w:styleId="FollowedHyperlink">
    <w:name w:val="FollowedHyperlink"/>
    <w:basedOn w:val="DefaultParagraphFont"/>
    <w:uiPriority w:val="99"/>
    <w:semiHidden/>
    <w:unhideWhenUsed/>
    <w:rsid w:val="0057316C"/>
    <w:rPr>
      <w:color w:val="800080" w:themeColor="followedHyperlink"/>
      <w:u w:val="single"/>
    </w:rPr>
  </w:style>
  <w:style w:type="character" w:customStyle="1" w:styleId="xbe">
    <w:name w:val="_xbe"/>
    <w:basedOn w:val="DefaultParagraphFont"/>
    <w:rsid w:val="009E7923"/>
  </w:style>
  <w:style w:type="paragraph" w:customStyle="1" w:styleId="Default">
    <w:name w:val="Default"/>
    <w:rsid w:val="00453169"/>
    <w:pPr>
      <w:autoSpaceDE w:val="0"/>
      <w:autoSpaceDN w:val="0"/>
      <w:adjustRightInd w:val="0"/>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40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Microsoft_Word_97_-_2003_Document1.doc"/><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26:Sources xmlns:ns26="http://schemas.openxmlformats.org/officeDocument/2006/bibliography" SelectedStyle="\APA.XSL" StyleName="APA Fifth Edition"/>
</file>

<file path=customXml/itemProps1.xml><?xml version="1.0" encoding="utf-8"?>
<ds:datastoreItem xmlns:ds="http://schemas.openxmlformats.org/officeDocument/2006/customXml" ds:itemID="{570F7EC1-264E-4851-8C15-188FB8BF8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3171</TotalTime>
  <Pages>34</Pages>
  <Words>10654</Words>
  <Characters>60729</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Here is some text</vt:lpstr>
    </vt:vector>
  </TitlesOfParts>
  <Company>Microsoft</Company>
  <LinksUpToDate>false</LinksUpToDate>
  <CharactersWithSpaces>71241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Here is some text</dc:title>
  <dc:creator>AMBROSINO, MARGARET K.</dc:creator>
  <cp:lastModifiedBy>LADD, ALEXANDRA G.</cp:lastModifiedBy>
  <cp:revision>25</cp:revision>
  <cp:lastPrinted>2016-09-12T23:35:00Z</cp:lastPrinted>
  <dcterms:created xsi:type="dcterms:W3CDTF">2017-08-24T14:46:00Z</dcterms:created>
  <dcterms:modified xsi:type="dcterms:W3CDTF">2017-08-28T15:54:00Z</dcterms:modified>
</cp:coreProperties>
</file>